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E0" w:rsidRPr="005225F1" w:rsidRDefault="0050255A" w:rsidP="004E71E0">
      <w:pPr>
        <w:jc w:val="center"/>
        <w:rPr>
          <w:rFonts w:ascii="Arial" w:hAnsi="Arial" w:cs="Arial"/>
          <w:b/>
        </w:rPr>
      </w:pPr>
      <w:r>
        <w:rPr>
          <w:rFonts w:ascii="Arial" w:hAnsi="Arial" w:cs="Arial"/>
          <w:b/>
        </w:rPr>
        <w:t>About the IDBR</w:t>
      </w:r>
    </w:p>
    <w:p w:rsidR="004E71E0" w:rsidRPr="005225F1" w:rsidRDefault="004E71E0" w:rsidP="004E71E0">
      <w:pPr>
        <w:rPr>
          <w:rFonts w:ascii="Arial" w:hAnsi="Arial" w:cs="Arial"/>
        </w:rPr>
      </w:pPr>
      <w:r w:rsidRPr="005225F1">
        <w:rPr>
          <w:rFonts w:ascii="Arial" w:hAnsi="Arial" w:cs="Arial"/>
        </w:rPr>
        <w:t>From the 1st April 2011, the responsibility for the collection of data and production of official labour market and economic statistics transferred from the Department of Enterprise, Trade and Investment to the Northern Ireland Statistics and Research Agency (NISRA), an agency of the Department of Finance and Personnel (DFP).</w:t>
      </w:r>
    </w:p>
    <w:p w:rsidR="00C7084C" w:rsidRPr="005225F1" w:rsidRDefault="004E71E0" w:rsidP="00317B4C">
      <w:pPr>
        <w:rPr>
          <w:rFonts w:ascii="Arial" w:hAnsi="Arial" w:cs="Arial"/>
        </w:rPr>
      </w:pPr>
      <w:r w:rsidRPr="005225F1">
        <w:rPr>
          <w:rFonts w:ascii="Arial" w:hAnsi="Arial" w:cs="Arial"/>
        </w:rPr>
        <w:t>The IDBR is a business register which contains information on all businesses in the UK which are VAT registered or operating a PAYE scheme. The register is located in the Office for National Statistics (ONS) Newport but the NI element of the register is maintained within</w:t>
      </w:r>
      <w:r w:rsidR="00584172" w:rsidRPr="005225F1">
        <w:rPr>
          <w:rFonts w:ascii="Arial" w:hAnsi="Arial" w:cs="Arial"/>
        </w:rPr>
        <w:t xml:space="preserve"> DFP Economic and Labour Market Statistics Branch (ELMSB)</w:t>
      </w:r>
      <w:r w:rsidRPr="005225F1">
        <w:rPr>
          <w:rFonts w:ascii="Arial" w:hAnsi="Arial" w:cs="Arial"/>
        </w:rPr>
        <w:t>. The IDBR is the sampling frame used for the vast majority of Government statistical surveys to businesses. The IDBR covers most of the economy including the Agriculture, Production and Service sectors in Northern Ireland. It does not, however, include very small businesses which fall below the VAT and PAYE thresholds. The facts and figures are drawn together from two main sources: the IDBR and the Department for Business Enterprise and Regulatory Reform- Enterprise Directorate.</w:t>
      </w:r>
      <w:r w:rsidR="00C7084C" w:rsidRPr="005225F1">
        <w:rPr>
          <w:rFonts w:ascii="Arial" w:hAnsi="Arial" w:cs="Arial"/>
        </w:rPr>
        <w:t xml:space="preserve"> </w:t>
      </w:r>
    </w:p>
    <w:p w:rsidR="00C7084C" w:rsidRPr="005225F1" w:rsidRDefault="00C7084C" w:rsidP="00C7084C">
      <w:pPr>
        <w:autoSpaceDE w:val="0"/>
        <w:autoSpaceDN w:val="0"/>
        <w:adjustRightInd w:val="0"/>
        <w:spacing w:line="240" w:lineRule="atLeast"/>
        <w:rPr>
          <w:rFonts w:ascii="Arial" w:hAnsi="Arial" w:cs="Arial"/>
        </w:rPr>
      </w:pPr>
      <w:r w:rsidRPr="005225F1">
        <w:rPr>
          <w:rFonts w:ascii="Arial" w:hAnsi="Arial" w:cs="Arial"/>
        </w:rPr>
        <w:t xml:space="preserve">The Local Government District (LGD) is allocated based on the “enterprise” or “reporting unit” </w:t>
      </w:r>
      <w:r w:rsidR="00317B4C" w:rsidRPr="005225F1">
        <w:rPr>
          <w:rFonts w:ascii="Arial" w:hAnsi="Arial" w:cs="Arial"/>
        </w:rPr>
        <w:t>postcode, which has been matched to the NISRA Control Postcode Directory</w:t>
      </w:r>
      <w:r w:rsidRPr="005225F1">
        <w:rPr>
          <w:rFonts w:ascii="Arial" w:hAnsi="Arial" w:cs="Arial"/>
        </w:rPr>
        <w:t xml:space="preserve">. Thus in the tables, a business with a head office in Belfast is included in the figures for Belfast, even though it may have work sites in other District Council areas. </w:t>
      </w:r>
    </w:p>
    <w:p w:rsidR="00C7084C" w:rsidRPr="005225F1" w:rsidRDefault="00C7084C" w:rsidP="004E71E0">
      <w:pPr>
        <w:pStyle w:val="BodyText"/>
        <w:tabs>
          <w:tab w:val="left" w:pos="0"/>
        </w:tabs>
        <w:rPr>
          <w:bCs w:val="0"/>
          <w:sz w:val="22"/>
          <w:szCs w:val="22"/>
          <w:u w:val="none"/>
        </w:rPr>
      </w:pPr>
    </w:p>
    <w:p w:rsidR="004E71E0" w:rsidRPr="005225F1" w:rsidRDefault="004E71E0" w:rsidP="004E71E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val="0"/>
          <w:bCs w:val="0"/>
          <w:sz w:val="22"/>
          <w:szCs w:val="22"/>
          <w:u w:val="none"/>
        </w:rPr>
      </w:pPr>
      <w:r w:rsidRPr="005225F1">
        <w:rPr>
          <w:b w:val="0"/>
          <w:bCs w:val="0"/>
          <w:sz w:val="22"/>
          <w:szCs w:val="22"/>
          <w:u w:val="none"/>
        </w:rPr>
        <w:t>The IDBR enables Government to conduct efficient and cost effective surveys/inquiries whilst minimising the burden on businesses. It is used for national accounts and labour market statistics, as well as providing basic information on the structure of the economy (for example, business births and deaths). In short, it is used in four main ways:-</w:t>
      </w:r>
    </w:p>
    <w:p w:rsidR="004E71E0" w:rsidRPr="005225F1" w:rsidRDefault="004E71E0" w:rsidP="004E71E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000000"/>
        </w:rPr>
      </w:pPr>
    </w:p>
    <w:p w:rsidR="004E71E0" w:rsidRPr="005225F1" w:rsidRDefault="004E71E0" w:rsidP="004E71E0">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 xml:space="preserve">To </w:t>
      </w:r>
      <w:r w:rsidRPr="005225F1">
        <w:rPr>
          <w:rFonts w:ascii="Arial" w:hAnsi="Arial" w:cs="Arial"/>
          <w:sz w:val="22"/>
          <w:szCs w:val="22"/>
          <w:u w:val="single"/>
        </w:rPr>
        <w:t>select</w:t>
      </w:r>
      <w:r w:rsidRPr="005225F1">
        <w:rPr>
          <w:rFonts w:ascii="Arial" w:hAnsi="Arial" w:cs="Arial"/>
          <w:sz w:val="22"/>
          <w:szCs w:val="22"/>
        </w:rPr>
        <w:t xml:space="preserve"> the businesses to be included in the surveys/inquiries,</w:t>
      </w:r>
    </w:p>
    <w:p w:rsidR="004E71E0" w:rsidRPr="005225F1" w:rsidRDefault="004E71E0" w:rsidP="004E71E0">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To</w:t>
      </w:r>
      <w:r w:rsidRPr="005225F1">
        <w:rPr>
          <w:rFonts w:ascii="Arial" w:hAnsi="Arial" w:cs="Arial"/>
          <w:b/>
          <w:sz w:val="22"/>
          <w:szCs w:val="22"/>
        </w:rPr>
        <w:t xml:space="preserve"> </w:t>
      </w:r>
      <w:r w:rsidRPr="005225F1">
        <w:rPr>
          <w:rFonts w:ascii="Arial" w:hAnsi="Arial" w:cs="Arial"/>
          <w:sz w:val="22"/>
          <w:szCs w:val="22"/>
          <w:u w:val="single"/>
        </w:rPr>
        <w:t>mail</w:t>
      </w:r>
      <w:r w:rsidRPr="005225F1">
        <w:rPr>
          <w:rFonts w:ascii="Arial" w:hAnsi="Arial" w:cs="Arial"/>
          <w:sz w:val="22"/>
          <w:szCs w:val="22"/>
        </w:rPr>
        <w:t xml:space="preserve"> forms,</w:t>
      </w:r>
    </w:p>
    <w:p w:rsidR="004E71E0" w:rsidRPr="005225F1" w:rsidRDefault="004E71E0" w:rsidP="004E71E0">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 xml:space="preserve">to enable </w:t>
      </w:r>
      <w:r w:rsidRPr="005225F1">
        <w:rPr>
          <w:rFonts w:ascii="Arial" w:hAnsi="Arial" w:cs="Arial"/>
          <w:sz w:val="22"/>
          <w:szCs w:val="22"/>
          <w:u w:val="single"/>
        </w:rPr>
        <w:t>estimates</w:t>
      </w:r>
      <w:r w:rsidRPr="005225F1">
        <w:rPr>
          <w:rFonts w:ascii="Arial" w:hAnsi="Arial" w:cs="Arial"/>
          <w:b/>
          <w:sz w:val="22"/>
          <w:szCs w:val="22"/>
        </w:rPr>
        <w:t xml:space="preserve"> </w:t>
      </w:r>
      <w:r w:rsidRPr="005225F1">
        <w:rPr>
          <w:rFonts w:ascii="Arial" w:hAnsi="Arial" w:cs="Arial"/>
          <w:sz w:val="22"/>
          <w:szCs w:val="22"/>
        </w:rPr>
        <w:t>to be made for businesses who do not respond or those not asked to participate in any particular inquiry, and</w:t>
      </w:r>
    </w:p>
    <w:p w:rsidR="004E71E0" w:rsidRPr="005225F1" w:rsidRDefault="004E71E0" w:rsidP="004E71E0">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 xml:space="preserve">To produce </w:t>
      </w:r>
      <w:r w:rsidRPr="005225F1">
        <w:rPr>
          <w:rFonts w:ascii="Arial" w:hAnsi="Arial" w:cs="Arial"/>
          <w:sz w:val="22"/>
          <w:szCs w:val="22"/>
          <w:u w:val="single"/>
        </w:rPr>
        <w:t>analyses</w:t>
      </w:r>
      <w:r w:rsidRPr="005225F1">
        <w:rPr>
          <w:rFonts w:ascii="Arial" w:hAnsi="Arial" w:cs="Arial"/>
          <w:sz w:val="22"/>
          <w:szCs w:val="22"/>
        </w:rPr>
        <w:t xml:space="preserve"> of business activity.</w:t>
      </w:r>
    </w:p>
    <w:p w:rsidR="00584172" w:rsidRPr="005225F1" w:rsidRDefault="00584172" w:rsidP="004E71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b w:val="0"/>
          <w:bCs w:val="0"/>
          <w:color w:val="000000"/>
          <w:sz w:val="22"/>
          <w:szCs w:val="22"/>
          <w:u w:val="none"/>
        </w:rPr>
      </w:pPr>
    </w:p>
    <w:p w:rsidR="004E71E0" w:rsidRPr="005225F1" w:rsidRDefault="004E71E0" w:rsidP="004E71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sz w:val="22"/>
          <w:szCs w:val="22"/>
          <w:u w:val="none"/>
        </w:rPr>
      </w:pPr>
      <w:r w:rsidRPr="005225F1">
        <w:rPr>
          <w:b w:val="0"/>
          <w:bCs w:val="0"/>
          <w:sz w:val="22"/>
          <w:szCs w:val="22"/>
          <w:u w:val="none"/>
        </w:rPr>
        <w:t>The register must therefore be comprehensive in coverage, accurate, up-to-date and contain the minimum amount of duplication.</w:t>
      </w:r>
    </w:p>
    <w:p w:rsidR="006E000E" w:rsidRPr="005225F1" w:rsidRDefault="006E000E" w:rsidP="006E000E">
      <w:pPr>
        <w:pStyle w:val="BodyText"/>
        <w:tabs>
          <w:tab w:val="left" w:pos="720"/>
          <w:tab w:val="left" w:pos="1440"/>
          <w:tab w:val="left" w:pos="2160"/>
          <w:tab w:val="left" w:pos="2880"/>
          <w:tab w:val="left" w:pos="3600"/>
          <w:tab w:val="left" w:pos="4320"/>
          <w:tab w:val="left" w:pos="5040"/>
          <w:tab w:val="left" w:pos="5760"/>
          <w:tab w:val="left" w:pos="6480"/>
          <w:tab w:val="left" w:pos="7200"/>
        </w:tabs>
        <w:outlineLvl w:val="0"/>
        <w:rPr>
          <w:bCs w:val="0"/>
          <w:sz w:val="22"/>
          <w:szCs w:val="22"/>
          <w:u w:val="none"/>
        </w:rPr>
      </w:pPr>
    </w:p>
    <w:p w:rsidR="004E71E0" w:rsidRPr="005225F1" w:rsidRDefault="004E71E0" w:rsidP="006E000E">
      <w:pPr>
        <w:pStyle w:val="BodyText"/>
        <w:tabs>
          <w:tab w:val="left" w:pos="720"/>
          <w:tab w:val="left" w:pos="1440"/>
          <w:tab w:val="left" w:pos="2160"/>
          <w:tab w:val="left" w:pos="2880"/>
          <w:tab w:val="left" w:pos="3600"/>
          <w:tab w:val="left" w:pos="4320"/>
          <w:tab w:val="left" w:pos="5040"/>
          <w:tab w:val="left" w:pos="5760"/>
          <w:tab w:val="left" w:pos="6480"/>
          <w:tab w:val="left" w:pos="7200"/>
        </w:tabs>
        <w:outlineLvl w:val="0"/>
        <w:rPr>
          <w:bCs w:val="0"/>
          <w:sz w:val="22"/>
          <w:szCs w:val="22"/>
          <w:u w:val="none"/>
        </w:rPr>
      </w:pPr>
      <w:r w:rsidRPr="005225F1">
        <w:rPr>
          <w:bCs w:val="0"/>
          <w:sz w:val="22"/>
          <w:szCs w:val="22"/>
          <w:u w:val="none"/>
        </w:rPr>
        <w:t>Who uses the IDBR?</w:t>
      </w:r>
    </w:p>
    <w:p w:rsidR="00584172" w:rsidRPr="005225F1" w:rsidRDefault="00584172" w:rsidP="006E000E">
      <w:pPr>
        <w:pStyle w:val="BodyText"/>
        <w:tabs>
          <w:tab w:val="left" w:pos="720"/>
          <w:tab w:val="left" w:pos="1440"/>
          <w:tab w:val="left" w:pos="2160"/>
          <w:tab w:val="left" w:pos="2880"/>
          <w:tab w:val="left" w:pos="3600"/>
          <w:tab w:val="left" w:pos="4320"/>
          <w:tab w:val="left" w:pos="5040"/>
          <w:tab w:val="left" w:pos="5760"/>
          <w:tab w:val="left" w:pos="6480"/>
          <w:tab w:val="left" w:pos="7200"/>
        </w:tabs>
        <w:outlineLvl w:val="0"/>
        <w:rPr>
          <w:bCs w:val="0"/>
          <w:sz w:val="22"/>
          <w:szCs w:val="22"/>
          <w:u w:val="none"/>
        </w:rPr>
      </w:pPr>
    </w:p>
    <w:p w:rsidR="004E71E0" w:rsidRPr="005225F1" w:rsidRDefault="004E71E0" w:rsidP="004E71E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color w:val="000000"/>
        </w:rPr>
      </w:pPr>
      <w:r w:rsidRPr="005225F1">
        <w:rPr>
          <w:rFonts w:ascii="Arial" w:hAnsi="Arial" w:cs="Arial"/>
          <w:color w:val="000000"/>
        </w:rPr>
        <w:t xml:space="preserve">The following Government Departments currently make use of the IDBR. However access is restricted to </w:t>
      </w:r>
      <w:proofErr w:type="gramStart"/>
      <w:r w:rsidRPr="005225F1">
        <w:rPr>
          <w:rFonts w:ascii="Arial" w:hAnsi="Arial" w:cs="Arial"/>
          <w:color w:val="000000"/>
        </w:rPr>
        <w:t>those staff that require</w:t>
      </w:r>
      <w:proofErr w:type="gramEnd"/>
      <w:r w:rsidRPr="005225F1">
        <w:rPr>
          <w:rFonts w:ascii="Arial" w:hAnsi="Arial" w:cs="Arial"/>
          <w:color w:val="000000"/>
        </w:rPr>
        <w:t xml:space="preserve"> the use of the IDBR in their daily jobs, for example, those staff working in a statistics branch.</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Office for National Statistics - for UK statistical inquiries and analysis.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Department of Enterprise, Trade and Investment - for statistical inquiries and analysis.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4"/>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Department of the Environment, Transport and the Regions (GB) and the Department of Finance and Personnel (NI) - for construction inquiries.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Department of Trade and Industry - for statistical inquiries and analysis, mainly relating to small firms.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Department for the Environment, Food and Rural Affairs (GB) - for analysis.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The National Assembly for Wales - for statistical inquiries and analysis.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lastRenderedPageBreak/>
        <w:t>•</w:t>
      </w:r>
      <w:r w:rsidRPr="005225F1">
        <w:rPr>
          <w:rFonts w:ascii="Arial" w:hAnsi="Arial" w:cs="Arial"/>
          <w:sz w:val="22"/>
          <w:szCs w:val="22"/>
        </w:rPr>
        <w:tab/>
        <w:t>The Scottish Executive - for analysis.</w:t>
      </w:r>
    </w:p>
    <w:p w:rsidR="004E71E0" w:rsidRPr="005225F1" w:rsidRDefault="004E71E0" w:rsidP="004E71E0">
      <w:pPr>
        <w:pStyle w:val="Bullet1"/>
        <w:tabs>
          <w:tab w:val="left" w:pos="720"/>
          <w:tab w:val="left" w:pos="1440"/>
          <w:tab w:val="left" w:pos="2160"/>
          <w:tab w:val="left" w:pos="2880"/>
          <w:tab w:val="left" w:pos="3600"/>
          <w:tab w:val="left" w:pos="4320"/>
          <w:tab w:val="left" w:pos="5040"/>
          <w:tab w:val="left" w:pos="5760"/>
          <w:tab w:val="left" w:pos="6480"/>
          <w:tab w:val="left" w:pos="7200"/>
        </w:tabs>
        <w:ind w:left="284" w:hanging="288"/>
        <w:jc w:val="both"/>
        <w:rPr>
          <w:rFonts w:ascii="Arial" w:hAnsi="Arial" w:cs="Arial"/>
          <w:sz w:val="22"/>
          <w:szCs w:val="22"/>
        </w:rPr>
      </w:pPr>
      <w:r w:rsidRPr="005225F1">
        <w:rPr>
          <w:rFonts w:ascii="Arial" w:hAnsi="Arial" w:cs="Arial"/>
          <w:sz w:val="22"/>
          <w:szCs w:val="22"/>
        </w:rPr>
        <w:t>•</w:t>
      </w:r>
      <w:r w:rsidRPr="005225F1">
        <w:rPr>
          <w:rFonts w:ascii="Arial" w:hAnsi="Arial" w:cs="Arial"/>
          <w:sz w:val="22"/>
          <w:szCs w:val="22"/>
        </w:rPr>
        <w:tab/>
        <w:t>Department for Work and Pensions - for statistical inquiries.</w:t>
      </w:r>
    </w:p>
    <w:p w:rsidR="004E71E0" w:rsidRPr="005225F1" w:rsidRDefault="004E71E0" w:rsidP="004E71E0">
      <w:pPr>
        <w:pStyle w:val="BodyText"/>
        <w:tabs>
          <w:tab w:val="left" w:pos="0"/>
        </w:tabs>
        <w:rPr>
          <w:bCs w:val="0"/>
          <w:sz w:val="22"/>
          <w:szCs w:val="22"/>
          <w:u w:val="none"/>
        </w:rPr>
      </w:pPr>
    </w:p>
    <w:p w:rsidR="004E71E0" w:rsidRPr="005225F1" w:rsidRDefault="004E71E0" w:rsidP="004E71E0">
      <w:pPr>
        <w:spacing w:before="100" w:beforeAutospacing="1" w:after="100" w:afterAutospacing="1"/>
        <w:outlineLvl w:val="1"/>
        <w:rPr>
          <w:rFonts w:ascii="Arial" w:hAnsi="Arial" w:cs="Arial"/>
          <w:b/>
          <w:bCs/>
          <w:lang w:eastAsia="en-GB"/>
        </w:rPr>
      </w:pPr>
      <w:r w:rsidRPr="005225F1">
        <w:rPr>
          <w:rFonts w:ascii="Arial" w:hAnsi="Arial" w:cs="Arial"/>
          <w:b/>
          <w:bCs/>
          <w:lang w:eastAsia="en-GB"/>
        </w:rPr>
        <w:t>Who else can use the IDBR?</w:t>
      </w:r>
    </w:p>
    <w:p w:rsidR="004E71E0" w:rsidRPr="005225F1" w:rsidRDefault="004E71E0" w:rsidP="004E71E0">
      <w:pPr>
        <w:numPr>
          <w:ilvl w:val="0"/>
          <w:numId w:val="1"/>
        </w:numPr>
        <w:spacing w:before="100" w:beforeAutospacing="1" w:after="100" w:afterAutospacing="1" w:line="240" w:lineRule="auto"/>
        <w:rPr>
          <w:rFonts w:ascii="Arial" w:hAnsi="Arial" w:cs="Arial"/>
          <w:lang w:eastAsia="en-GB"/>
        </w:rPr>
      </w:pPr>
      <w:r w:rsidRPr="005225F1">
        <w:rPr>
          <w:rFonts w:ascii="Arial" w:hAnsi="Arial" w:cs="Arial"/>
          <w:lang w:eastAsia="en-GB"/>
        </w:rPr>
        <w:t>Central Government - access to information for surveys and analysis. </w:t>
      </w:r>
    </w:p>
    <w:p w:rsidR="004E71E0" w:rsidRPr="005225F1" w:rsidRDefault="004E71E0" w:rsidP="004E71E0">
      <w:pPr>
        <w:numPr>
          <w:ilvl w:val="0"/>
          <w:numId w:val="1"/>
        </w:numPr>
        <w:spacing w:before="100" w:beforeAutospacing="1" w:after="100" w:afterAutospacing="1" w:line="240" w:lineRule="auto"/>
        <w:rPr>
          <w:rFonts w:ascii="Arial" w:hAnsi="Arial" w:cs="Arial"/>
          <w:lang w:eastAsia="en-GB"/>
        </w:rPr>
      </w:pPr>
      <w:r w:rsidRPr="005225F1">
        <w:rPr>
          <w:rFonts w:ascii="Arial" w:hAnsi="Arial" w:cs="Arial"/>
          <w:lang w:eastAsia="en-GB"/>
        </w:rPr>
        <w:t>Local Authorities and other government bodies - access to some disclosive data.</w:t>
      </w:r>
    </w:p>
    <w:p w:rsidR="004E71E0" w:rsidRPr="005225F1" w:rsidRDefault="004E71E0" w:rsidP="004E71E0">
      <w:pPr>
        <w:numPr>
          <w:ilvl w:val="0"/>
          <w:numId w:val="1"/>
        </w:numPr>
        <w:spacing w:before="100" w:beforeAutospacing="1" w:after="100" w:afterAutospacing="1" w:line="240" w:lineRule="auto"/>
        <w:rPr>
          <w:rFonts w:ascii="Arial" w:hAnsi="Arial" w:cs="Arial"/>
          <w:lang w:eastAsia="en-GB"/>
        </w:rPr>
      </w:pPr>
      <w:r w:rsidRPr="005225F1">
        <w:rPr>
          <w:rFonts w:ascii="Arial" w:hAnsi="Arial" w:cs="Arial"/>
          <w:lang w:eastAsia="en-GB"/>
        </w:rPr>
        <w:t>Government Contractors - Information for surveys and analysis as specified in their contracts.</w:t>
      </w:r>
    </w:p>
    <w:p w:rsidR="004E71E0" w:rsidRPr="005225F1" w:rsidRDefault="004E71E0" w:rsidP="006E000E">
      <w:pPr>
        <w:numPr>
          <w:ilvl w:val="0"/>
          <w:numId w:val="1"/>
        </w:numPr>
        <w:spacing w:before="100" w:beforeAutospacing="1" w:after="100" w:afterAutospacing="1" w:line="240" w:lineRule="auto"/>
        <w:rPr>
          <w:rFonts w:ascii="Arial" w:hAnsi="Arial" w:cs="Arial"/>
          <w:lang w:eastAsia="en-GB"/>
        </w:rPr>
      </w:pPr>
      <w:r w:rsidRPr="005225F1">
        <w:rPr>
          <w:rFonts w:ascii="Arial" w:hAnsi="Arial" w:cs="Arial"/>
          <w:lang w:eastAsia="en-GB"/>
        </w:rPr>
        <w:t>General public - Access to analyses provided they are not disclosive.</w:t>
      </w:r>
    </w:p>
    <w:p w:rsidR="006E000E" w:rsidRPr="005225F1" w:rsidRDefault="00425450" w:rsidP="004E71E0">
      <w:pPr>
        <w:pStyle w:val="BodyText"/>
        <w:tabs>
          <w:tab w:val="left" w:pos="0"/>
        </w:tabs>
        <w:rPr>
          <w:bCs w:val="0"/>
          <w:sz w:val="22"/>
          <w:szCs w:val="22"/>
          <w:u w:val="none"/>
        </w:rPr>
      </w:pPr>
      <w:r w:rsidRPr="005225F1">
        <w:rPr>
          <w:bCs w:val="0"/>
          <w:sz w:val="22"/>
          <w:szCs w:val="22"/>
          <w:u w:val="none"/>
        </w:rPr>
        <w:t xml:space="preserve">Glossary </w:t>
      </w:r>
      <w:r w:rsidR="00010740" w:rsidRPr="005225F1">
        <w:rPr>
          <w:bCs w:val="0"/>
          <w:sz w:val="22"/>
          <w:szCs w:val="22"/>
          <w:u w:val="none"/>
        </w:rPr>
        <w:t xml:space="preserve">and </w:t>
      </w:r>
      <w:r w:rsidR="00584172" w:rsidRPr="005225F1">
        <w:rPr>
          <w:bCs w:val="0"/>
          <w:sz w:val="22"/>
          <w:szCs w:val="22"/>
          <w:u w:val="none"/>
        </w:rPr>
        <w:t xml:space="preserve">Links:  </w:t>
      </w:r>
    </w:p>
    <w:p w:rsidR="00584172" w:rsidRPr="005225F1" w:rsidRDefault="00584172" w:rsidP="004E71E0">
      <w:pPr>
        <w:pStyle w:val="BodyText"/>
        <w:tabs>
          <w:tab w:val="left" w:pos="0"/>
        </w:tabs>
        <w:rPr>
          <w:bCs w:val="0"/>
          <w:sz w:val="22"/>
          <w:szCs w:val="22"/>
          <w:u w:val="none"/>
        </w:rPr>
      </w:pPr>
    </w:p>
    <w:p w:rsidR="00584172" w:rsidRPr="005225F1" w:rsidRDefault="00584172" w:rsidP="0058417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9720"/>
        </w:tabs>
        <w:ind w:right="-51"/>
        <w:rPr>
          <w:b w:val="0"/>
          <w:bCs w:val="0"/>
          <w:sz w:val="22"/>
          <w:szCs w:val="22"/>
          <w:u w:val="none"/>
        </w:rPr>
      </w:pPr>
      <w:r w:rsidRPr="005225F1">
        <w:rPr>
          <w:b w:val="0"/>
          <w:bCs w:val="0"/>
          <w:sz w:val="22"/>
          <w:szCs w:val="22"/>
          <w:u w:val="none"/>
        </w:rPr>
        <w:t>A glossary of IDBR terms and abbreviations, past editions of ‘Facts and Figures from the IDBR’ and further information on the IDBR including its usage and the structure of the IDBR can be found by following the link below:</w:t>
      </w:r>
    </w:p>
    <w:p w:rsidR="00584172" w:rsidRPr="005225F1" w:rsidRDefault="00584172" w:rsidP="0058417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9720"/>
        </w:tabs>
        <w:ind w:right="-51"/>
        <w:rPr>
          <w:bCs w:val="0"/>
          <w:sz w:val="22"/>
          <w:szCs w:val="22"/>
          <w:u w:val="none"/>
        </w:rPr>
      </w:pPr>
    </w:p>
    <w:p w:rsidR="00425450" w:rsidRPr="005225F1" w:rsidRDefault="00244201" w:rsidP="004E71E0">
      <w:pPr>
        <w:pStyle w:val="BodyText"/>
        <w:tabs>
          <w:tab w:val="left" w:pos="0"/>
        </w:tabs>
        <w:rPr>
          <w:bCs w:val="0"/>
          <w:sz w:val="22"/>
          <w:szCs w:val="22"/>
          <w:u w:val="none"/>
        </w:rPr>
      </w:pPr>
      <w:hyperlink r:id="rId5" w:history="1">
        <w:r w:rsidR="00425450" w:rsidRPr="005225F1">
          <w:rPr>
            <w:rStyle w:val="Hyperlink"/>
            <w:bCs w:val="0"/>
            <w:sz w:val="22"/>
            <w:szCs w:val="22"/>
          </w:rPr>
          <w:t>http://www.detini.gov.uk/deti-stats-index/stats-surveys/stats-inter-dept-bus-register.htm</w:t>
        </w:r>
      </w:hyperlink>
    </w:p>
    <w:p w:rsidR="004E71E0" w:rsidRPr="005225F1" w:rsidRDefault="004E71E0" w:rsidP="004E71E0">
      <w:pPr>
        <w:pStyle w:val="BodyText"/>
        <w:tabs>
          <w:tab w:val="left" w:pos="0"/>
        </w:tabs>
        <w:rPr>
          <w:bCs w:val="0"/>
          <w:sz w:val="22"/>
          <w:szCs w:val="22"/>
          <w:u w:val="none"/>
        </w:rPr>
      </w:pPr>
    </w:p>
    <w:p w:rsidR="00C7084C" w:rsidRPr="002B45E7" w:rsidRDefault="00C7084C" w:rsidP="004E71E0">
      <w:pPr>
        <w:pStyle w:val="BodyText"/>
        <w:tabs>
          <w:tab w:val="left" w:pos="0"/>
        </w:tabs>
        <w:rPr>
          <w:bCs w:val="0"/>
          <w:sz w:val="22"/>
          <w:szCs w:val="22"/>
          <w:u w:val="none"/>
        </w:rPr>
      </w:pPr>
    </w:p>
    <w:sectPr w:rsidR="00C7084C" w:rsidRPr="002B45E7" w:rsidSect="00632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352BA"/>
    <w:multiLevelType w:val="multilevel"/>
    <w:tmpl w:val="E406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1E0"/>
    <w:rsid w:val="00010740"/>
    <w:rsid w:val="00016B06"/>
    <w:rsid w:val="00244201"/>
    <w:rsid w:val="002B45E7"/>
    <w:rsid w:val="00317B4C"/>
    <w:rsid w:val="00425450"/>
    <w:rsid w:val="0049593E"/>
    <w:rsid w:val="004C4690"/>
    <w:rsid w:val="004E71E0"/>
    <w:rsid w:val="0050255A"/>
    <w:rsid w:val="005225F1"/>
    <w:rsid w:val="00584172"/>
    <w:rsid w:val="0063290E"/>
    <w:rsid w:val="00674F47"/>
    <w:rsid w:val="006E000E"/>
    <w:rsid w:val="007C3A98"/>
    <w:rsid w:val="00956203"/>
    <w:rsid w:val="00A0534C"/>
    <w:rsid w:val="00A23BB9"/>
    <w:rsid w:val="00A52ED4"/>
    <w:rsid w:val="00A80A6B"/>
    <w:rsid w:val="00B35F65"/>
    <w:rsid w:val="00B823BF"/>
    <w:rsid w:val="00C7084C"/>
    <w:rsid w:val="00C8281A"/>
    <w:rsid w:val="00EB12D1"/>
    <w:rsid w:val="00F01C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71E0"/>
    <w:pPr>
      <w:spacing w:after="0" w:line="240" w:lineRule="auto"/>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4E71E0"/>
    <w:rPr>
      <w:rFonts w:ascii="Arial" w:eastAsia="Times New Roman" w:hAnsi="Arial" w:cs="Arial"/>
      <w:b/>
      <w:bCs/>
      <w:sz w:val="24"/>
      <w:szCs w:val="24"/>
      <w:u w:val="single"/>
    </w:rPr>
  </w:style>
  <w:style w:type="paragraph" w:customStyle="1" w:styleId="Bullet">
    <w:name w:val="Bullet"/>
    <w:rsid w:val="004E71E0"/>
    <w:pPr>
      <w:tabs>
        <w:tab w:val="left" w:pos="720"/>
      </w:tabs>
      <w:spacing w:after="0" w:line="240" w:lineRule="auto"/>
      <w:ind w:left="288" w:hanging="288"/>
      <w:jc w:val="both"/>
    </w:pPr>
    <w:rPr>
      <w:rFonts w:ascii="Times New Roman" w:eastAsia="Times New Roman" w:hAnsi="Times New Roman" w:cs="Times New Roman"/>
      <w:color w:val="000000"/>
      <w:sz w:val="24"/>
      <w:szCs w:val="20"/>
      <w:lang w:val="en-US"/>
    </w:rPr>
  </w:style>
  <w:style w:type="paragraph" w:customStyle="1" w:styleId="Bullet1">
    <w:name w:val="Bullet 1"/>
    <w:rsid w:val="004E71E0"/>
    <w:pPr>
      <w:spacing w:after="0" w:line="240" w:lineRule="auto"/>
    </w:pPr>
    <w:rPr>
      <w:rFonts w:ascii="Times New Roman" w:eastAsia="Times New Roman" w:hAnsi="Times New Roman" w:cs="Times New Roman"/>
      <w:color w:val="000000"/>
      <w:sz w:val="24"/>
      <w:szCs w:val="20"/>
      <w:lang w:val="en-US"/>
    </w:rPr>
  </w:style>
  <w:style w:type="character" w:styleId="Hyperlink">
    <w:name w:val="Hyperlink"/>
    <w:basedOn w:val="DefaultParagraphFont"/>
    <w:uiPriority w:val="99"/>
    <w:unhideWhenUsed/>
    <w:rsid w:val="00425450"/>
    <w:rPr>
      <w:color w:val="0000FF" w:themeColor="hyperlink"/>
      <w:u w:val="single"/>
    </w:rPr>
  </w:style>
  <w:style w:type="paragraph" w:styleId="NormalWeb">
    <w:name w:val="Normal (Web)"/>
    <w:basedOn w:val="Normal"/>
    <w:uiPriority w:val="99"/>
    <w:semiHidden/>
    <w:unhideWhenUsed/>
    <w:rsid w:val="00C70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084C"/>
    <w:rPr>
      <w:b/>
      <w:bCs/>
    </w:rPr>
  </w:style>
  <w:style w:type="paragraph" w:styleId="BalloonText">
    <w:name w:val="Balloon Text"/>
    <w:basedOn w:val="Normal"/>
    <w:link w:val="BalloonTextChar"/>
    <w:uiPriority w:val="99"/>
    <w:semiHidden/>
    <w:unhideWhenUsed/>
    <w:rsid w:val="00C7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4C"/>
    <w:rPr>
      <w:rFonts w:ascii="Tahoma" w:hAnsi="Tahoma" w:cs="Tahoma"/>
      <w:sz w:val="16"/>
      <w:szCs w:val="16"/>
    </w:rPr>
  </w:style>
  <w:style w:type="character" w:styleId="FollowedHyperlink">
    <w:name w:val="FollowedHyperlink"/>
    <w:basedOn w:val="DefaultParagraphFont"/>
    <w:uiPriority w:val="99"/>
    <w:semiHidden/>
    <w:unhideWhenUsed/>
    <w:rsid w:val="005841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768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5496">
          <w:marLeft w:val="0"/>
          <w:marRight w:val="0"/>
          <w:marTop w:val="0"/>
          <w:marBottom w:val="0"/>
          <w:divBdr>
            <w:top w:val="none" w:sz="0" w:space="0" w:color="auto"/>
            <w:left w:val="none" w:sz="0" w:space="0" w:color="auto"/>
            <w:bottom w:val="none" w:sz="0" w:space="0" w:color="auto"/>
            <w:right w:val="none" w:sz="0" w:space="0" w:color="auto"/>
          </w:divBdr>
          <w:divsChild>
            <w:div w:id="1729961465">
              <w:marLeft w:val="0"/>
              <w:marRight w:val="0"/>
              <w:marTop w:val="0"/>
              <w:marBottom w:val="0"/>
              <w:divBdr>
                <w:top w:val="none" w:sz="0" w:space="0" w:color="auto"/>
                <w:left w:val="none" w:sz="0" w:space="0" w:color="auto"/>
                <w:bottom w:val="none" w:sz="0" w:space="0" w:color="auto"/>
                <w:right w:val="none" w:sz="0" w:space="0" w:color="auto"/>
              </w:divBdr>
              <w:divsChild>
                <w:div w:id="1879316674">
                  <w:marLeft w:val="0"/>
                  <w:marRight w:val="0"/>
                  <w:marTop w:val="0"/>
                  <w:marBottom w:val="0"/>
                  <w:divBdr>
                    <w:top w:val="none" w:sz="0" w:space="0" w:color="auto"/>
                    <w:left w:val="none" w:sz="0" w:space="0" w:color="auto"/>
                    <w:bottom w:val="none" w:sz="0" w:space="0" w:color="auto"/>
                    <w:right w:val="none" w:sz="0" w:space="0" w:color="auto"/>
                  </w:divBdr>
                  <w:divsChild>
                    <w:div w:id="320237242">
                      <w:marLeft w:val="0"/>
                      <w:marRight w:val="0"/>
                      <w:marTop w:val="0"/>
                      <w:marBottom w:val="0"/>
                      <w:divBdr>
                        <w:top w:val="none" w:sz="0" w:space="0" w:color="auto"/>
                        <w:left w:val="none" w:sz="0" w:space="0" w:color="auto"/>
                        <w:bottom w:val="none" w:sz="0" w:space="0" w:color="auto"/>
                        <w:right w:val="none" w:sz="0" w:space="0" w:color="auto"/>
                      </w:divBdr>
                      <w:divsChild>
                        <w:div w:id="1699550457">
                          <w:marLeft w:val="-15"/>
                          <w:marRight w:val="-15"/>
                          <w:marTop w:val="0"/>
                          <w:marBottom w:val="0"/>
                          <w:divBdr>
                            <w:top w:val="single" w:sz="6" w:space="0" w:color="D9E1E5"/>
                            <w:left w:val="single" w:sz="6" w:space="0" w:color="D9E1E5"/>
                            <w:bottom w:val="single" w:sz="6" w:space="0" w:color="D9E1E5"/>
                            <w:right w:val="single" w:sz="6" w:space="0" w:color="D9E1E5"/>
                          </w:divBdr>
                          <w:divsChild>
                            <w:div w:id="1879586259">
                              <w:marLeft w:val="0"/>
                              <w:marRight w:val="0"/>
                              <w:marTop w:val="0"/>
                              <w:marBottom w:val="0"/>
                              <w:divBdr>
                                <w:top w:val="none" w:sz="0" w:space="0" w:color="auto"/>
                                <w:left w:val="single" w:sz="6" w:space="0" w:color="D9E1E5"/>
                                <w:bottom w:val="none" w:sz="0" w:space="0" w:color="auto"/>
                                <w:right w:val="none" w:sz="0" w:space="0" w:color="auto"/>
                              </w:divBdr>
                              <w:divsChild>
                                <w:div w:id="1604071307">
                                  <w:marLeft w:val="0"/>
                                  <w:marRight w:val="0"/>
                                  <w:marTop w:val="0"/>
                                  <w:marBottom w:val="0"/>
                                  <w:divBdr>
                                    <w:top w:val="none" w:sz="0" w:space="0" w:color="auto"/>
                                    <w:left w:val="none" w:sz="0" w:space="0" w:color="auto"/>
                                    <w:bottom w:val="none" w:sz="0" w:space="0" w:color="auto"/>
                                    <w:right w:val="none" w:sz="0" w:space="0" w:color="auto"/>
                                  </w:divBdr>
                                  <w:divsChild>
                                    <w:div w:id="1091705430">
                                      <w:marLeft w:val="0"/>
                                      <w:marRight w:val="0"/>
                                      <w:marTop w:val="0"/>
                                      <w:marBottom w:val="0"/>
                                      <w:divBdr>
                                        <w:top w:val="none" w:sz="0" w:space="0" w:color="auto"/>
                                        <w:left w:val="none" w:sz="0" w:space="0" w:color="auto"/>
                                        <w:bottom w:val="none" w:sz="0" w:space="0" w:color="auto"/>
                                        <w:right w:val="none" w:sz="0" w:space="0" w:color="auto"/>
                                      </w:divBdr>
                                      <w:divsChild>
                                        <w:div w:id="700395415">
                                          <w:marLeft w:val="0"/>
                                          <w:marRight w:val="3600"/>
                                          <w:marTop w:val="0"/>
                                          <w:marBottom w:val="0"/>
                                          <w:divBdr>
                                            <w:top w:val="none" w:sz="0" w:space="0" w:color="auto"/>
                                            <w:left w:val="none" w:sz="0" w:space="0" w:color="auto"/>
                                            <w:bottom w:val="none" w:sz="0" w:space="0" w:color="auto"/>
                                            <w:right w:val="none" w:sz="0" w:space="0" w:color="auto"/>
                                          </w:divBdr>
                                          <w:divsChild>
                                            <w:div w:id="1673024362">
                                              <w:marLeft w:val="0"/>
                                              <w:marRight w:val="0"/>
                                              <w:marTop w:val="0"/>
                                              <w:marBottom w:val="0"/>
                                              <w:divBdr>
                                                <w:top w:val="none" w:sz="0" w:space="0" w:color="auto"/>
                                                <w:left w:val="none" w:sz="0" w:space="0" w:color="auto"/>
                                                <w:bottom w:val="none" w:sz="0" w:space="0" w:color="auto"/>
                                                <w:right w:val="none" w:sz="0" w:space="0" w:color="auto"/>
                                              </w:divBdr>
                                              <w:divsChild>
                                                <w:div w:id="1193345243">
                                                  <w:marLeft w:val="0"/>
                                                  <w:marRight w:val="0"/>
                                                  <w:marTop w:val="0"/>
                                                  <w:marBottom w:val="0"/>
                                                  <w:divBdr>
                                                    <w:top w:val="none" w:sz="0" w:space="0" w:color="auto"/>
                                                    <w:left w:val="none" w:sz="0" w:space="0" w:color="auto"/>
                                                    <w:bottom w:val="none" w:sz="0" w:space="0" w:color="auto"/>
                                                    <w:right w:val="none" w:sz="0" w:space="0" w:color="auto"/>
                                                  </w:divBdr>
                                                  <w:divsChild>
                                                    <w:div w:id="156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tini.gov.uk/deti-stats-index/stats-surveys/stats-inter-dept-bus-regist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McAuley</dc:creator>
  <cp:lastModifiedBy>Sarah McAuley</cp:lastModifiedBy>
  <cp:revision>5</cp:revision>
  <dcterms:created xsi:type="dcterms:W3CDTF">2013-01-28T15:56:00Z</dcterms:created>
  <dcterms:modified xsi:type="dcterms:W3CDTF">2013-01-29T15:08:00Z</dcterms:modified>
</cp:coreProperties>
</file>