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98" w:type="dxa"/>
        <w:tblLook w:val="04A0" w:firstRow="1" w:lastRow="0" w:firstColumn="1" w:lastColumn="0" w:noHBand="0" w:noVBand="1"/>
      </w:tblPr>
      <w:tblGrid>
        <w:gridCol w:w="3227"/>
        <w:gridCol w:w="7371"/>
      </w:tblGrid>
      <w:tr w:rsidR="00907690" w:rsidRPr="00907690" w:rsidTr="00BE5E48">
        <w:trPr>
          <w:trHeight w:val="397"/>
        </w:trPr>
        <w:tc>
          <w:tcPr>
            <w:tcW w:w="3227" w:type="dxa"/>
            <w:shd w:val="clear" w:color="auto" w:fill="D9D9D9" w:themeFill="background1" w:themeFillShade="D9"/>
            <w:vAlign w:val="center"/>
          </w:tcPr>
          <w:p w:rsidR="00907690" w:rsidRPr="00907690" w:rsidRDefault="00907690" w:rsidP="00A50178">
            <w:pPr>
              <w:rPr>
                <w:rFonts w:asciiTheme="minorHAnsi" w:hAnsiTheme="minorHAnsi"/>
                <w:b/>
                <w:sz w:val="20"/>
                <w:szCs w:val="20"/>
              </w:rPr>
            </w:pPr>
            <w:bookmarkStart w:id="0" w:name="OLE_LINK1"/>
            <w:r w:rsidRPr="00907690">
              <w:rPr>
                <w:rFonts w:asciiTheme="minorHAnsi" w:hAnsiTheme="minorHAnsi"/>
                <w:b/>
                <w:sz w:val="20"/>
                <w:szCs w:val="20"/>
              </w:rPr>
              <w:t>Indicator:</w:t>
            </w:r>
          </w:p>
        </w:tc>
        <w:tc>
          <w:tcPr>
            <w:tcW w:w="7371" w:type="dxa"/>
            <w:vAlign w:val="center"/>
          </w:tcPr>
          <w:p w:rsidR="00907690" w:rsidRPr="004D28B6" w:rsidRDefault="00A50178" w:rsidP="00907690">
            <w:pPr>
              <w:rPr>
                <w:rFonts w:asciiTheme="minorHAnsi" w:hAnsiTheme="minorHAnsi"/>
                <w:b/>
                <w:sz w:val="20"/>
                <w:szCs w:val="20"/>
              </w:rPr>
            </w:pPr>
            <w:r w:rsidRPr="004D28B6">
              <w:rPr>
                <w:rFonts w:asciiTheme="minorHAnsi" w:hAnsiTheme="minorHAnsi" w:cs="Arial"/>
                <w:b/>
                <w:sz w:val="20"/>
                <w:szCs w:val="20"/>
              </w:rPr>
              <w:t>Reoffending Rate</w:t>
            </w:r>
          </w:p>
        </w:tc>
      </w:tr>
    </w:tbl>
    <w:p w:rsidR="00FB47D0" w:rsidRPr="00907690" w:rsidRDefault="00FB47D0">
      <w:pPr>
        <w:rPr>
          <w:rFonts w:asciiTheme="minorHAnsi" w:hAnsiTheme="minorHAnsi"/>
          <w:sz w:val="20"/>
          <w:szCs w:val="20"/>
        </w:rPr>
      </w:pPr>
    </w:p>
    <w:tbl>
      <w:tblPr>
        <w:tblStyle w:val="TableGrid"/>
        <w:tblW w:w="10598" w:type="dxa"/>
        <w:tblLook w:val="04A0" w:firstRow="1" w:lastRow="0" w:firstColumn="1" w:lastColumn="0" w:noHBand="0" w:noVBand="1"/>
      </w:tblPr>
      <w:tblGrid>
        <w:gridCol w:w="3227"/>
        <w:gridCol w:w="7371"/>
      </w:tblGrid>
      <w:tr w:rsidR="00907690" w:rsidRPr="00907690" w:rsidTr="00BE5E48">
        <w:trPr>
          <w:trHeight w:val="340"/>
        </w:trPr>
        <w:tc>
          <w:tcPr>
            <w:tcW w:w="3227"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 xml:space="preserve">Responsible Statistician: </w:t>
            </w:r>
          </w:p>
        </w:tc>
        <w:tc>
          <w:tcPr>
            <w:tcW w:w="7371"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Gayle Kennedy, Department of Justice</w:t>
            </w:r>
          </w:p>
        </w:tc>
      </w:tr>
      <w:tr w:rsidR="00907690" w:rsidRPr="00907690" w:rsidTr="00BE5E48">
        <w:trPr>
          <w:trHeight w:val="340"/>
        </w:trPr>
        <w:tc>
          <w:tcPr>
            <w:tcW w:w="3227"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Web Link to Statistical Publication:</w:t>
            </w:r>
          </w:p>
        </w:tc>
        <w:tc>
          <w:tcPr>
            <w:tcW w:w="7371" w:type="dxa"/>
            <w:vAlign w:val="center"/>
          </w:tcPr>
          <w:p w:rsidR="00907690" w:rsidRPr="00907690" w:rsidRDefault="00E968C9" w:rsidP="00907690">
            <w:pPr>
              <w:rPr>
                <w:rFonts w:asciiTheme="minorHAnsi" w:hAnsiTheme="minorHAnsi"/>
                <w:sz w:val="20"/>
                <w:szCs w:val="20"/>
              </w:rPr>
            </w:pPr>
            <w:hyperlink r:id="rId9" w:history="1">
              <w:r w:rsidR="0067408C" w:rsidRPr="00057115">
                <w:rPr>
                  <w:rStyle w:val="Hyperlink"/>
                  <w:rFonts w:asciiTheme="minorHAnsi" w:hAnsiTheme="minorHAnsi"/>
                  <w:sz w:val="20"/>
                  <w:szCs w:val="20"/>
                </w:rPr>
                <w:t>https://www.justice-ni.gov.uk/articles/reoffending</w:t>
              </w:r>
            </w:hyperlink>
            <w:r w:rsidR="0067408C">
              <w:rPr>
                <w:rFonts w:asciiTheme="minorHAnsi" w:hAnsiTheme="minorHAnsi"/>
                <w:sz w:val="20"/>
                <w:szCs w:val="20"/>
              </w:rPr>
              <w:t xml:space="preserve"> </w:t>
            </w:r>
          </w:p>
        </w:tc>
      </w:tr>
      <w:tr w:rsidR="00907690" w:rsidRPr="00907690" w:rsidTr="00BE5E48">
        <w:trPr>
          <w:trHeight w:val="340"/>
        </w:trPr>
        <w:tc>
          <w:tcPr>
            <w:tcW w:w="3227"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Pr>
                <w:rFonts w:asciiTheme="minorHAnsi" w:hAnsiTheme="minorHAnsi"/>
                <w:b/>
                <w:sz w:val="20"/>
                <w:szCs w:val="20"/>
              </w:rPr>
              <w:t>Frequency of update</w:t>
            </w:r>
            <w:r w:rsidRPr="00345E2E">
              <w:rPr>
                <w:rFonts w:asciiTheme="minorHAnsi" w:hAnsiTheme="minorHAnsi"/>
                <w:b/>
                <w:sz w:val="20"/>
                <w:szCs w:val="20"/>
              </w:rPr>
              <w:t>:</w:t>
            </w:r>
          </w:p>
        </w:tc>
        <w:tc>
          <w:tcPr>
            <w:tcW w:w="7371"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Annual</w:t>
            </w:r>
          </w:p>
        </w:tc>
      </w:tr>
      <w:tr w:rsidR="00907690" w:rsidRPr="00907690" w:rsidTr="00BE5E48">
        <w:trPr>
          <w:trHeight w:val="340"/>
        </w:trPr>
        <w:tc>
          <w:tcPr>
            <w:tcW w:w="3227"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ime lag:</w:t>
            </w:r>
          </w:p>
        </w:tc>
        <w:tc>
          <w:tcPr>
            <w:tcW w:w="7371"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10-11 months</w:t>
            </w:r>
          </w:p>
        </w:tc>
      </w:tr>
      <w:tr w:rsidR="00907690" w:rsidRPr="00907690" w:rsidTr="00BE5E48">
        <w:trPr>
          <w:trHeight w:val="340"/>
        </w:trPr>
        <w:tc>
          <w:tcPr>
            <w:tcW w:w="3227"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Data Source:</w:t>
            </w:r>
          </w:p>
        </w:tc>
        <w:tc>
          <w:tcPr>
            <w:tcW w:w="7371"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Administrative Data</w:t>
            </w:r>
          </w:p>
        </w:tc>
      </w:tr>
      <w:tr w:rsidR="00907690" w:rsidRPr="00907690" w:rsidTr="00BE5E48">
        <w:trPr>
          <w:trHeight w:val="340"/>
        </w:trPr>
        <w:tc>
          <w:tcPr>
            <w:tcW w:w="3227"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National Statistics</w:t>
            </w:r>
            <w:r>
              <w:rPr>
                <w:rFonts w:asciiTheme="minorHAnsi" w:hAnsiTheme="minorHAnsi"/>
                <w:b/>
                <w:sz w:val="20"/>
                <w:szCs w:val="20"/>
              </w:rPr>
              <w:t xml:space="preserve"> Status</w:t>
            </w:r>
          </w:p>
        </w:tc>
        <w:tc>
          <w:tcPr>
            <w:tcW w:w="7371" w:type="dxa"/>
            <w:vAlign w:val="center"/>
          </w:tcPr>
          <w:p w:rsidR="00907690" w:rsidRPr="00907690" w:rsidRDefault="00BE6AC3" w:rsidP="00907690">
            <w:pPr>
              <w:rPr>
                <w:rFonts w:asciiTheme="minorHAnsi" w:hAnsiTheme="minorHAnsi"/>
                <w:sz w:val="20"/>
                <w:szCs w:val="20"/>
              </w:rPr>
            </w:pPr>
            <w:r>
              <w:rPr>
                <w:rFonts w:asciiTheme="minorHAnsi" w:hAnsiTheme="minorHAnsi"/>
                <w:sz w:val="20"/>
                <w:szCs w:val="20"/>
              </w:rPr>
              <w:t>Official Statistics</w:t>
            </w:r>
          </w:p>
        </w:tc>
      </w:tr>
      <w:tr w:rsidR="00907690" w:rsidRPr="00907690" w:rsidTr="00BE5E48">
        <w:trPr>
          <w:trHeight w:val="340"/>
        </w:trPr>
        <w:tc>
          <w:tcPr>
            <w:tcW w:w="3227"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Quality Report:</w:t>
            </w:r>
          </w:p>
        </w:tc>
        <w:tc>
          <w:tcPr>
            <w:tcW w:w="7371"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Quality reports contained within methodology section of each publication.</w:t>
            </w:r>
          </w:p>
        </w:tc>
      </w:tr>
      <w:tr w:rsidR="00907690" w:rsidRPr="00907690" w:rsidTr="00BE5E48">
        <w:trPr>
          <w:trHeight w:val="340"/>
        </w:trPr>
        <w:tc>
          <w:tcPr>
            <w:tcW w:w="3227"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Historic Data available from:</w:t>
            </w:r>
          </w:p>
        </w:tc>
        <w:tc>
          <w:tcPr>
            <w:tcW w:w="7371"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2010/11</w:t>
            </w:r>
          </w:p>
        </w:tc>
      </w:tr>
      <w:tr w:rsidR="00907690" w:rsidRPr="00907690" w:rsidTr="0067408C">
        <w:trPr>
          <w:trHeight w:val="4704"/>
        </w:trPr>
        <w:tc>
          <w:tcPr>
            <w:tcW w:w="3227"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 xml:space="preserve">ime-series trend: </w:t>
            </w:r>
          </w:p>
          <w:p w:rsidR="00907690" w:rsidRPr="00345E2E" w:rsidRDefault="00907690" w:rsidP="005F430A">
            <w:pPr>
              <w:rPr>
                <w:rFonts w:asciiTheme="minorHAnsi" w:hAnsiTheme="minorHAnsi"/>
                <w:b/>
                <w:sz w:val="20"/>
                <w:szCs w:val="20"/>
              </w:rPr>
            </w:pPr>
          </w:p>
          <w:p w:rsidR="00907690" w:rsidRPr="00345E2E" w:rsidRDefault="00907690" w:rsidP="005F430A">
            <w:pPr>
              <w:rPr>
                <w:rFonts w:asciiTheme="minorHAnsi" w:hAnsiTheme="minorHAnsi"/>
                <w:sz w:val="20"/>
                <w:szCs w:val="20"/>
              </w:rPr>
            </w:pPr>
          </w:p>
        </w:tc>
        <w:tc>
          <w:tcPr>
            <w:tcW w:w="7371" w:type="dxa"/>
          </w:tcPr>
          <w:p w:rsidR="00E968C9" w:rsidRPr="00E968C9" w:rsidRDefault="00E968C9" w:rsidP="00E968C9">
            <w:pPr>
              <w:pStyle w:val="Default"/>
              <w:rPr>
                <w:rFonts w:asciiTheme="minorHAnsi" w:hAnsiTheme="minorHAnsi"/>
                <w:bCs/>
                <w:sz w:val="20"/>
                <w:szCs w:val="20"/>
              </w:rPr>
            </w:pPr>
            <w:r w:rsidRPr="00E968C9">
              <w:rPr>
                <w:rFonts w:asciiTheme="minorHAnsi" w:hAnsiTheme="minorHAnsi"/>
                <w:bCs/>
                <w:sz w:val="20"/>
                <w:szCs w:val="20"/>
              </w:rPr>
              <w:t>In 2013 the measurement of recidivism rates was reinstated within Northern Ireland.  At this time a new methodology was introduced providing reoffending rather than reconviction rates.  To date there have been six publications providing one year proven reoffending rates for all those given a community based sentence, a diversionary sentence or released from custody during each of the six cohort years, 2010/11, to 2015/16.</w:t>
            </w:r>
          </w:p>
          <w:p w:rsidR="00E968C9" w:rsidRPr="00E968C9" w:rsidRDefault="00E968C9" w:rsidP="00E968C9">
            <w:pPr>
              <w:pStyle w:val="Default"/>
              <w:rPr>
                <w:rFonts w:asciiTheme="minorHAnsi" w:hAnsiTheme="minorHAnsi"/>
                <w:bCs/>
                <w:sz w:val="20"/>
                <w:szCs w:val="20"/>
              </w:rPr>
            </w:pPr>
          </w:p>
          <w:p w:rsidR="00E968C9" w:rsidRDefault="00E968C9" w:rsidP="00E968C9">
            <w:pPr>
              <w:pStyle w:val="Default"/>
              <w:rPr>
                <w:rFonts w:asciiTheme="minorHAnsi" w:hAnsiTheme="minorHAnsi"/>
                <w:color w:val="000000" w:themeColor="text1"/>
                <w:sz w:val="20"/>
                <w:szCs w:val="20"/>
              </w:rPr>
            </w:pPr>
            <w:r w:rsidRPr="00E968C9">
              <w:rPr>
                <w:rFonts w:asciiTheme="minorHAnsi" w:hAnsiTheme="minorHAnsi"/>
                <w:bCs/>
                <w:sz w:val="20"/>
                <w:szCs w:val="20"/>
              </w:rPr>
              <w:t xml:space="preserve">The reoffending rate for the latest cohort, (201516) was 18.47%.  This </w:t>
            </w:r>
            <w:r w:rsidRPr="00E968C9">
              <w:rPr>
                <w:rFonts w:asciiTheme="minorHAnsi" w:hAnsiTheme="minorHAnsi"/>
                <w:color w:val="000000" w:themeColor="text1"/>
                <w:sz w:val="20"/>
                <w:szCs w:val="20"/>
              </w:rPr>
              <w:t>is</w:t>
            </w:r>
            <w:r w:rsidRPr="00E968C9">
              <w:rPr>
                <w:rFonts w:asciiTheme="minorHAnsi" w:hAnsiTheme="minorHAnsi"/>
                <w:sz w:val="20"/>
                <w:szCs w:val="20"/>
              </w:rPr>
              <w:t xml:space="preserve"> a </w:t>
            </w:r>
            <w:r w:rsidRPr="00E968C9">
              <w:rPr>
                <w:rFonts w:asciiTheme="minorHAnsi" w:hAnsiTheme="minorHAnsi"/>
                <w:color w:val="000000" w:themeColor="text1"/>
                <w:sz w:val="20"/>
                <w:szCs w:val="20"/>
              </w:rPr>
              <w:t xml:space="preserve">0.41 percentage point increase in the actual rate of reoffending compared to the baseline of 18.06%. </w:t>
            </w:r>
          </w:p>
          <w:p w:rsidR="00E968C9" w:rsidRDefault="00E968C9" w:rsidP="00E968C9">
            <w:pPr>
              <w:pStyle w:val="Default"/>
              <w:rPr>
                <w:rFonts w:asciiTheme="minorHAnsi" w:hAnsiTheme="minorHAnsi"/>
                <w:color w:val="000000" w:themeColor="text1"/>
                <w:sz w:val="20"/>
                <w:szCs w:val="20"/>
              </w:rPr>
            </w:pPr>
          </w:p>
          <w:p w:rsidR="00907690" w:rsidRPr="00E968C9" w:rsidRDefault="003470CE" w:rsidP="00E968C9">
            <w:pPr>
              <w:pStyle w:val="Default"/>
              <w:rPr>
                <w:rFonts w:asciiTheme="minorHAnsi" w:hAnsiTheme="minorHAnsi"/>
                <w:b/>
                <w:bCs/>
                <w:sz w:val="20"/>
                <w:szCs w:val="20"/>
              </w:rPr>
            </w:pPr>
            <w:r w:rsidRPr="00E968C9">
              <w:rPr>
                <w:rFonts w:asciiTheme="minorHAnsi" w:hAnsiTheme="minorHAnsi"/>
                <w:b/>
                <w:bCs/>
                <w:sz w:val="20"/>
                <w:szCs w:val="20"/>
              </w:rPr>
              <w:t>Reoffending Rate</w:t>
            </w: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646"/>
              <w:gridCol w:w="1646"/>
              <w:gridCol w:w="1646"/>
            </w:tblGrid>
            <w:tr w:rsidR="0067408C" w:rsidRPr="00607F5E" w:rsidTr="00E968C9">
              <w:trPr>
                <w:trHeight w:val="756"/>
              </w:trPr>
              <w:tc>
                <w:tcPr>
                  <w:tcW w:w="902" w:type="dxa"/>
                  <w:shd w:val="clear" w:color="auto" w:fill="auto"/>
                  <w:vAlign w:val="center"/>
                  <w:hideMark/>
                </w:tcPr>
                <w:p w:rsidR="0067408C" w:rsidRPr="00607F5E" w:rsidRDefault="0067408C" w:rsidP="0067408C">
                  <w:pPr>
                    <w:rPr>
                      <w:rFonts w:asciiTheme="minorHAnsi" w:hAnsiTheme="minorHAnsi" w:cs="Arial"/>
                      <w:b/>
                      <w:bCs/>
                      <w:color w:val="000000"/>
                      <w:sz w:val="20"/>
                      <w:szCs w:val="20"/>
                      <w:lang w:eastAsia="en-GB"/>
                    </w:rPr>
                  </w:pPr>
                  <w:r w:rsidRPr="00607F5E">
                    <w:rPr>
                      <w:rFonts w:asciiTheme="minorHAnsi" w:hAnsiTheme="minorHAnsi" w:cs="Arial"/>
                      <w:b/>
                      <w:bCs/>
                      <w:color w:val="000000"/>
                      <w:sz w:val="20"/>
                      <w:szCs w:val="20"/>
                      <w:lang w:eastAsia="en-GB"/>
                    </w:rPr>
                    <w:t> </w:t>
                  </w:r>
                  <w:r w:rsidR="00E968C9">
                    <w:rPr>
                      <w:rFonts w:asciiTheme="minorHAnsi" w:hAnsiTheme="minorHAnsi" w:cs="Arial"/>
                      <w:b/>
                      <w:bCs/>
                      <w:color w:val="000000"/>
                      <w:sz w:val="20"/>
                      <w:szCs w:val="20"/>
                      <w:lang w:eastAsia="en-GB"/>
                    </w:rPr>
                    <w:t>Cohort</w:t>
                  </w:r>
                </w:p>
              </w:tc>
              <w:tc>
                <w:tcPr>
                  <w:tcW w:w="1646" w:type="dxa"/>
                  <w:shd w:val="clear" w:color="auto" w:fill="auto"/>
                  <w:hideMark/>
                </w:tcPr>
                <w:p w:rsidR="0067408C" w:rsidRPr="00607F5E" w:rsidRDefault="0067408C" w:rsidP="00E968C9">
                  <w:pPr>
                    <w:jc w:val="center"/>
                    <w:rPr>
                      <w:rFonts w:asciiTheme="minorHAnsi" w:hAnsiTheme="minorHAnsi" w:cs="Arial"/>
                      <w:b/>
                      <w:bCs/>
                      <w:color w:val="000000"/>
                      <w:sz w:val="20"/>
                      <w:szCs w:val="20"/>
                      <w:lang w:eastAsia="en-GB"/>
                    </w:rPr>
                  </w:pPr>
                  <w:r w:rsidRPr="00607F5E">
                    <w:rPr>
                      <w:rFonts w:asciiTheme="minorHAnsi" w:hAnsiTheme="minorHAnsi" w:cs="Arial"/>
                      <w:b/>
                      <w:bCs/>
                      <w:color w:val="000000"/>
                      <w:sz w:val="20"/>
                      <w:szCs w:val="20"/>
                      <w:lang w:eastAsia="en-GB"/>
                    </w:rPr>
                    <w:t>Number of People in Cohort</w:t>
                  </w:r>
                </w:p>
              </w:tc>
              <w:tc>
                <w:tcPr>
                  <w:tcW w:w="1646" w:type="dxa"/>
                  <w:shd w:val="clear" w:color="auto" w:fill="auto"/>
                  <w:hideMark/>
                </w:tcPr>
                <w:p w:rsidR="0067408C" w:rsidRPr="00607F5E" w:rsidRDefault="0067408C" w:rsidP="00E968C9">
                  <w:pPr>
                    <w:jc w:val="center"/>
                    <w:rPr>
                      <w:rFonts w:asciiTheme="minorHAnsi" w:hAnsiTheme="minorHAnsi" w:cs="Arial"/>
                      <w:b/>
                      <w:bCs/>
                      <w:color w:val="000000"/>
                      <w:sz w:val="20"/>
                      <w:szCs w:val="20"/>
                      <w:lang w:eastAsia="en-GB"/>
                    </w:rPr>
                  </w:pPr>
                  <w:r w:rsidRPr="00607F5E">
                    <w:rPr>
                      <w:rFonts w:asciiTheme="minorHAnsi" w:hAnsiTheme="minorHAnsi" w:cs="Arial"/>
                      <w:b/>
                      <w:bCs/>
                      <w:color w:val="000000"/>
                      <w:sz w:val="20"/>
                      <w:szCs w:val="20"/>
                      <w:lang w:eastAsia="en-GB"/>
                    </w:rPr>
                    <w:t>Number who Reoffended within one Year</w:t>
                  </w:r>
                </w:p>
              </w:tc>
              <w:tc>
                <w:tcPr>
                  <w:tcW w:w="1646" w:type="dxa"/>
                  <w:shd w:val="clear" w:color="auto" w:fill="auto"/>
                  <w:hideMark/>
                </w:tcPr>
                <w:p w:rsidR="00E968C9" w:rsidRDefault="0067408C" w:rsidP="00E968C9">
                  <w:pPr>
                    <w:jc w:val="center"/>
                    <w:rPr>
                      <w:rFonts w:asciiTheme="minorHAnsi" w:hAnsiTheme="minorHAnsi" w:cs="Arial"/>
                      <w:b/>
                      <w:bCs/>
                      <w:color w:val="000000"/>
                      <w:sz w:val="20"/>
                      <w:szCs w:val="20"/>
                      <w:lang w:eastAsia="en-GB"/>
                    </w:rPr>
                  </w:pPr>
                  <w:r w:rsidRPr="00607F5E">
                    <w:rPr>
                      <w:rFonts w:asciiTheme="minorHAnsi" w:hAnsiTheme="minorHAnsi" w:cs="Arial"/>
                      <w:b/>
                      <w:bCs/>
                      <w:color w:val="000000"/>
                      <w:sz w:val="20"/>
                      <w:szCs w:val="20"/>
                      <w:lang w:eastAsia="en-GB"/>
                    </w:rPr>
                    <w:t xml:space="preserve">Actual Reoffending </w:t>
                  </w:r>
                </w:p>
                <w:p w:rsidR="0067408C" w:rsidRPr="00607F5E" w:rsidRDefault="0067408C" w:rsidP="00E968C9">
                  <w:pPr>
                    <w:jc w:val="center"/>
                    <w:rPr>
                      <w:rFonts w:asciiTheme="minorHAnsi" w:hAnsiTheme="minorHAnsi" w:cs="Arial"/>
                      <w:b/>
                      <w:bCs/>
                      <w:color w:val="000000"/>
                      <w:sz w:val="20"/>
                      <w:szCs w:val="20"/>
                      <w:lang w:eastAsia="en-GB"/>
                    </w:rPr>
                  </w:pPr>
                  <w:r w:rsidRPr="00607F5E">
                    <w:rPr>
                      <w:rFonts w:asciiTheme="minorHAnsi" w:hAnsiTheme="minorHAnsi" w:cs="Arial"/>
                      <w:b/>
                      <w:bCs/>
                      <w:color w:val="000000"/>
                      <w:sz w:val="20"/>
                      <w:szCs w:val="20"/>
                      <w:lang w:eastAsia="en-GB"/>
                    </w:rPr>
                    <w:t>%</w:t>
                  </w:r>
                </w:p>
              </w:tc>
            </w:tr>
            <w:tr w:rsidR="0067408C" w:rsidRPr="00607F5E" w:rsidTr="00E968C9">
              <w:trPr>
                <w:trHeight w:val="300"/>
              </w:trPr>
              <w:tc>
                <w:tcPr>
                  <w:tcW w:w="902" w:type="dxa"/>
                  <w:shd w:val="clear" w:color="auto" w:fill="auto"/>
                  <w:vAlign w:val="center"/>
                  <w:hideMark/>
                </w:tcPr>
                <w:p w:rsidR="0067408C" w:rsidRPr="00607F5E" w:rsidRDefault="0067408C" w:rsidP="0067408C">
                  <w:pPr>
                    <w:rPr>
                      <w:rFonts w:asciiTheme="minorHAnsi" w:hAnsiTheme="minorHAnsi"/>
                      <w:sz w:val="20"/>
                      <w:szCs w:val="20"/>
                    </w:rPr>
                  </w:pPr>
                  <w:r w:rsidRPr="00607F5E">
                    <w:rPr>
                      <w:rFonts w:asciiTheme="minorHAnsi" w:hAnsiTheme="minorHAnsi"/>
                      <w:sz w:val="20"/>
                      <w:szCs w:val="20"/>
                    </w:rPr>
                    <w:t>2010/11</w:t>
                  </w:r>
                </w:p>
              </w:tc>
              <w:tc>
                <w:tcPr>
                  <w:tcW w:w="1646" w:type="dxa"/>
                  <w:shd w:val="clear" w:color="auto" w:fill="auto"/>
                  <w:vAlign w:val="center"/>
                  <w:hideMark/>
                </w:tcPr>
                <w:p w:rsidR="0067408C" w:rsidRPr="00607F5E" w:rsidRDefault="0067408C" w:rsidP="0067408C">
                  <w:pPr>
                    <w:rPr>
                      <w:rFonts w:asciiTheme="minorHAnsi" w:hAnsiTheme="minorHAnsi"/>
                      <w:sz w:val="20"/>
                      <w:szCs w:val="20"/>
                    </w:rPr>
                  </w:pPr>
                  <w:r w:rsidRPr="00607F5E">
                    <w:rPr>
                      <w:rFonts w:asciiTheme="minorHAnsi" w:hAnsiTheme="minorHAnsi"/>
                      <w:sz w:val="20"/>
                      <w:szCs w:val="20"/>
                    </w:rPr>
                    <w:t>33,815</w:t>
                  </w:r>
                </w:p>
              </w:tc>
              <w:tc>
                <w:tcPr>
                  <w:tcW w:w="1646" w:type="dxa"/>
                  <w:shd w:val="clear" w:color="auto" w:fill="auto"/>
                  <w:vAlign w:val="center"/>
                  <w:hideMark/>
                </w:tcPr>
                <w:p w:rsidR="0067408C" w:rsidRPr="00607F5E" w:rsidRDefault="0067408C" w:rsidP="0067408C">
                  <w:pPr>
                    <w:rPr>
                      <w:rFonts w:asciiTheme="minorHAnsi" w:hAnsiTheme="minorHAnsi"/>
                      <w:sz w:val="20"/>
                      <w:szCs w:val="20"/>
                    </w:rPr>
                  </w:pPr>
                  <w:r w:rsidRPr="00607F5E">
                    <w:rPr>
                      <w:rFonts w:asciiTheme="minorHAnsi" w:hAnsiTheme="minorHAnsi"/>
                      <w:sz w:val="20"/>
                      <w:szCs w:val="20"/>
                    </w:rPr>
                    <w:t>5,646</w:t>
                  </w:r>
                </w:p>
              </w:tc>
              <w:tc>
                <w:tcPr>
                  <w:tcW w:w="1646" w:type="dxa"/>
                  <w:shd w:val="clear" w:color="auto" w:fill="auto"/>
                  <w:vAlign w:val="center"/>
                  <w:hideMark/>
                </w:tcPr>
                <w:p w:rsidR="0067408C" w:rsidRPr="00607F5E" w:rsidRDefault="0067408C" w:rsidP="0067408C">
                  <w:pPr>
                    <w:rPr>
                      <w:rFonts w:asciiTheme="minorHAnsi" w:hAnsiTheme="minorHAnsi"/>
                      <w:sz w:val="20"/>
                      <w:szCs w:val="20"/>
                    </w:rPr>
                  </w:pPr>
                  <w:r w:rsidRPr="00607F5E">
                    <w:rPr>
                      <w:rFonts w:asciiTheme="minorHAnsi" w:hAnsiTheme="minorHAnsi"/>
                      <w:sz w:val="20"/>
                      <w:szCs w:val="20"/>
                    </w:rPr>
                    <w:t>16.70%</w:t>
                  </w:r>
                </w:p>
              </w:tc>
            </w:tr>
            <w:tr w:rsidR="0067408C" w:rsidRPr="00607F5E" w:rsidTr="00E968C9">
              <w:trPr>
                <w:trHeight w:val="300"/>
              </w:trPr>
              <w:tc>
                <w:tcPr>
                  <w:tcW w:w="902" w:type="dxa"/>
                  <w:shd w:val="clear" w:color="auto" w:fill="auto"/>
                  <w:vAlign w:val="center"/>
                  <w:hideMark/>
                </w:tcPr>
                <w:p w:rsidR="0067408C" w:rsidRPr="00607F5E" w:rsidRDefault="0067408C" w:rsidP="0067408C">
                  <w:pPr>
                    <w:rPr>
                      <w:rFonts w:asciiTheme="minorHAnsi" w:hAnsiTheme="minorHAnsi"/>
                      <w:sz w:val="20"/>
                      <w:szCs w:val="20"/>
                    </w:rPr>
                  </w:pPr>
                  <w:r w:rsidRPr="00607F5E">
                    <w:rPr>
                      <w:rFonts w:asciiTheme="minorHAnsi" w:hAnsiTheme="minorHAnsi"/>
                      <w:sz w:val="20"/>
                      <w:szCs w:val="20"/>
                    </w:rPr>
                    <w:t>2011/12</w:t>
                  </w:r>
                </w:p>
              </w:tc>
              <w:tc>
                <w:tcPr>
                  <w:tcW w:w="1646" w:type="dxa"/>
                  <w:shd w:val="clear" w:color="auto" w:fill="auto"/>
                  <w:vAlign w:val="center"/>
                  <w:hideMark/>
                </w:tcPr>
                <w:p w:rsidR="0067408C" w:rsidRPr="00607F5E" w:rsidRDefault="0067408C" w:rsidP="0067408C">
                  <w:pPr>
                    <w:rPr>
                      <w:rFonts w:asciiTheme="minorHAnsi" w:hAnsiTheme="minorHAnsi"/>
                      <w:sz w:val="20"/>
                      <w:szCs w:val="20"/>
                    </w:rPr>
                  </w:pPr>
                  <w:r w:rsidRPr="00607F5E">
                    <w:rPr>
                      <w:rFonts w:asciiTheme="minorHAnsi" w:hAnsiTheme="minorHAnsi"/>
                      <w:sz w:val="20"/>
                      <w:szCs w:val="20"/>
                    </w:rPr>
                    <w:t>31,343</w:t>
                  </w:r>
                </w:p>
              </w:tc>
              <w:tc>
                <w:tcPr>
                  <w:tcW w:w="1646" w:type="dxa"/>
                  <w:shd w:val="clear" w:color="auto" w:fill="auto"/>
                  <w:vAlign w:val="center"/>
                  <w:hideMark/>
                </w:tcPr>
                <w:p w:rsidR="0067408C" w:rsidRPr="00607F5E" w:rsidRDefault="0067408C" w:rsidP="0067408C">
                  <w:pPr>
                    <w:rPr>
                      <w:rFonts w:asciiTheme="minorHAnsi" w:hAnsiTheme="minorHAnsi"/>
                      <w:sz w:val="20"/>
                      <w:szCs w:val="20"/>
                    </w:rPr>
                  </w:pPr>
                  <w:r w:rsidRPr="00607F5E">
                    <w:rPr>
                      <w:rFonts w:asciiTheme="minorHAnsi" w:hAnsiTheme="minorHAnsi"/>
                      <w:sz w:val="20"/>
                      <w:szCs w:val="20"/>
                    </w:rPr>
                    <w:t>5,869</w:t>
                  </w:r>
                </w:p>
              </w:tc>
              <w:tc>
                <w:tcPr>
                  <w:tcW w:w="1646" w:type="dxa"/>
                  <w:shd w:val="clear" w:color="auto" w:fill="auto"/>
                  <w:vAlign w:val="center"/>
                  <w:hideMark/>
                </w:tcPr>
                <w:p w:rsidR="0067408C" w:rsidRPr="00607F5E" w:rsidRDefault="0067408C" w:rsidP="0067408C">
                  <w:pPr>
                    <w:rPr>
                      <w:rFonts w:asciiTheme="minorHAnsi" w:hAnsiTheme="minorHAnsi"/>
                      <w:sz w:val="20"/>
                      <w:szCs w:val="20"/>
                    </w:rPr>
                  </w:pPr>
                  <w:r w:rsidRPr="00607F5E">
                    <w:rPr>
                      <w:rFonts w:asciiTheme="minorHAnsi" w:hAnsiTheme="minorHAnsi"/>
                      <w:sz w:val="20"/>
                      <w:szCs w:val="20"/>
                    </w:rPr>
                    <w:t>18.73%</w:t>
                  </w:r>
                </w:p>
              </w:tc>
            </w:tr>
            <w:tr w:rsidR="0067408C" w:rsidRPr="00607F5E" w:rsidTr="00E968C9">
              <w:trPr>
                <w:trHeight w:val="300"/>
              </w:trPr>
              <w:tc>
                <w:tcPr>
                  <w:tcW w:w="902" w:type="dxa"/>
                  <w:shd w:val="clear" w:color="auto" w:fill="auto"/>
                  <w:vAlign w:val="center"/>
                  <w:hideMark/>
                </w:tcPr>
                <w:p w:rsidR="0067408C" w:rsidRPr="00607F5E" w:rsidRDefault="0067408C" w:rsidP="0067408C">
                  <w:pPr>
                    <w:rPr>
                      <w:rFonts w:asciiTheme="minorHAnsi" w:hAnsiTheme="minorHAnsi"/>
                      <w:sz w:val="20"/>
                      <w:szCs w:val="20"/>
                    </w:rPr>
                  </w:pPr>
                  <w:r w:rsidRPr="00607F5E">
                    <w:rPr>
                      <w:rFonts w:asciiTheme="minorHAnsi" w:hAnsiTheme="minorHAnsi"/>
                      <w:sz w:val="20"/>
                      <w:szCs w:val="20"/>
                    </w:rPr>
                    <w:t>2012/13</w:t>
                  </w:r>
                </w:p>
              </w:tc>
              <w:tc>
                <w:tcPr>
                  <w:tcW w:w="1646" w:type="dxa"/>
                  <w:shd w:val="clear" w:color="auto" w:fill="auto"/>
                  <w:vAlign w:val="center"/>
                  <w:hideMark/>
                </w:tcPr>
                <w:p w:rsidR="0067408C" w:rsidRPr="00607F5E" w:rsidRDefault="0067408C" w:rsidP="0067408C">
                  <w:pPr>
                    <w:rPr>
                      <w:rFonts w:asciiTheme="minorHAnsi" w:hAnsiTheme="minorHAnsi"/>
                      <w:sz w:val="20"/>
                      <w:szCs w:val="20"/>
                    </w:rPr>
                  </w:pPr>
                  <w:r w:rsidRPr="00607F5E">
                    <w:rPr>
                      <w:rFonts w:asciiTheme="minorHAnsi" w:hAnsiTheme="minorHAnsi"/>
                      <w:sz w:val="20"/>
                      <w:szCs w:val="20"/>
                    </w:rPr>
                    <w:t>29,427</w:t>
                  </w:r>
                </w:p>
              </w:tc>
              <w:tc>
                <w:tcPr>
                  <w:tcW w:w="1646" w:type="dxa"/>
                  <w:shd w:val="clear" w:color="auto" w:fill="auto"/>
                  <w:vAlign w:val="center"/>
                  <w:hideMark/>
                </w:tcPr>
                <w:p w:rsidR="0067408C" w:rsidRPr="00607F5E" w:rsidRDefault="0067408C" w:rsidP="0067408C">
                  <w:pPr>
                    <w:rPr>
                      <w:rFonts w:asciiTheme="minorHAnsi" w:hAnsiTheme="minorHAnsi"/>
                      <w:sz w:val="20"/>
                      <w:szCs w:val="20"/>
                    </w:rPr>
                  </w:pPr>
                  <w:r w:rsidRPr="00607F5E">
                    <w:rPr>
                      <w:rFonts w:asciiTheme="minorHAnsi" w:hAnsiTheme="minorHAnsi"/>
                      <w:sz w:val="20"/>
                      <w:szCs w:val="20"/>
                    </w:rPr>
                    <w:t>5,452</w:t>
                  </w:r>
                </w:p>
              </w:tc>
              <w:tc>
                <w:tcPr>
                  <w:tcW w:w="1646" w:type="dxa"/>
                  <w:shd w:val="clear" w:color="auto" w:fill="auto"/>
                  <w:vAlign w:val="center"/>
                  <w:hideMark/>
                </w:tcPr>
                <w:p w:rsidR="0067408C" w:rsidRPr="00607F5E" w:rsidRDefault="0067408C" w:rsidP="0067408C">
                  <w:pPr>
                    <w:rPr>
                      <w:rFonts w:asciiTheme="minorHAnsi" w:hAnsiTheme="minorHAnsi"/>
                      <w:sz w:val="20"/>
                      <w:szCs w:val="20"/>
                    </w:rPr>
                  </w:pPr>
                  <w:r w:rsidRPr="00607F5E">
                    <w:rPr>
                      <w:rFonts w:asciiTheme="minorHAnsi" w:hAnsiTheme="minorHAnsi"/>
                      <w:sz w:val="20"/>
                      <w:szCs w:val="20"/>
                    </w:rPr>
                    <w:t>18.53%</w:t>
                  </w:r>
                </w:p>
              </w:tc>
            </w:tr>
            <w:tr w:rsidR="0067408C" w:rsidRPr="00607F5E" w:rsidTr="00E968C9">
              <w:trPr>
                <w:trHeight w:val="300"/>
              </w:trPr>
              <w:tc>
                <w:tcPr>
                  <w:tcW w:w="902" w:type="dxa"/>
                  <w:shd w:val="clear" w:color="auto" w:fill="auto"/>
                  <w:vAlign w:val="center"/>
                  <w:hideMark/>
                </w:tcPr>
                <w:p w:rsidR="0067408C" w:rsidRPr="00607F5E" w:rsidRDefault="0067408C" w:rsidP="0067408C">
                  <w:pPr>
                    <w:rPr>
                      <w:rFonts w:asciiTheme="minorHAnsi" w:hAnsiTheme="minorHAnsi"/>
                      <w:sz w:val="20"/>
                      <w:szCs w:val="20"/>
                    </w:rPr>
                  </w:pPr>
                  <w:r w:rsidRPr="00607F5E">
                    <w:rPr>
                      <w:rFonts w:asciiTheme="minorHAnsi" w:hAnsiTheme="minorHAnsi"/>
                      <w:sz w:val="20"/>
                      <w:szCs w:val="20"/>
                    </w:rPr>
                    <w:t>2013/14</w:t>
                  </w:r>
                </w:p>
              </w:tc>
              <w:tc>
                <w:tcPr>
                  <w:tcW w:w="1646" w:type="dxa"/>
                  <w:shd w:val="clear" w:color="auto" w:fill="auto"/>
                  <w:vAlign w:val="center"/>
                  <w:hideMark/>
                </w:tcPr>
                <w:p w:rsidR="0067408C" w:rsidRPr="00607F5E" w:rsidRDefault="0067408C" w:rsidP="0067408C">
                  <w:pPr>
                    <w:rPr>
                      <w:rFonts w:asciiTheme="minorHAnsi" w:hAnsiTheme="minorHAnsi"/>
                      <w:sz w:val="20"/>
                      <w:szCs w:val="20"/>
                    </w:rPr>
                  </w:pPr>
                  <w:r w:rsidRPr="00607F5E">
                    <w:rPr>
                      <w:rFonts w:asciiTheme="minorHAnsi" w:hAnsiTheme="minorHAnsi"/>
                      <w:sz w:val="20"/>
                      <w:szCs w:val="20"/>
                    </w:rPr>
                    <w:t>27,069</w:t>
                  </w:r>
                </w:p>
              </w:tc>
              <w:tc>
                <w:tcPr>
                  <w:tcW w:w="1646" w:type="dxa"/>
                  <w:shd w:val="clear" w:color="auto" w:fill="auto"/>
                  <w:vAlign w:val="center"/>
                  <w:hideMark/>
                </w:tcPr>
                <w:p w:rsidR="0067408C" w:rsidRPr="00607F5E" w:rsidRDefault="0067408C" w:rsidP="0067408C">
                  <w:pPr>
                    <w:rPr>
                      <w:rFonts w:asciiTheme="minorHAnsi" w:hAnsiTheme="minorHAnsi"/>
                      <w:sz w:val="20"/>
                      <w:szCs w:val="20"/>
                    </w:rPr>
                  </w:pPr>
                  <w:r w:rsidRPr="00607F5E">
                    <w:rPr>
                      <w:rFonts w:asciiTheme="minorHAnsi" w:hAnsiTheme="minorHAnsi"/>
                      <w:sz w:val="20"/>
                      <w:szCs w:val="20"/>
                    </w:rPr>
                    <w:t>4,890</w:t>
                  </w:r>
                </w:p>
              </w:tc>
              <w:tc>
                <w:tcPr>
                  <w:tcW w:w="1646" w:type="dxa"/>
                  <w:shd w:val="clear" w:color="auto" w:fill="auto"/>
                  <w:vAlign w:val="center"/>
                  <w:hideMark/>
                </w:tcPr>
                <w:p w:rsidR="0067408C" w:rsidRPr="00607F5E" w:rsidRDefault="0067408C" w:rsidP="0067408C">
                  <w:pPr>
                    <w:rPr>
                      <w:rFonts w:asciiTheme="minorHAnsi" w:hAnsiTheme="minorHAnsi"/>
                      <w:sz w:val="20"/>
                      <w:szCs w:val="20"/>
                    </w:rPr>
                  </w:pPr>
                  <w:r w:rsidRPr="00607F5E">
                    <w:rPr>
                      <w:rFonts w:asciiTheme="minorHAnsi" w:hAnsiTheme="minorHAnsi"/>
                      <w:sz w:val="20"/>
                      <w:szCs w:val="20"/>
                    </w:rPr>
                    <w:t>18.06%</w:t>
                  </w:r>
                </w:p>
              </w:tc>
            </w:tr>
            <w:tr w:rsidR="00607F5E" w:rsidRPr="00607F5E" w:rsidTr="00E968C9">
              <w:trPr>
                <w:trHeight w:val="300"/>
              </w:trPr>
              <w:tc>
                <w:tcPr>
                  <w:tcW w:w="902" w:type="dxa"/>
                  <w:shd w:val="clear" w:color="auto" w:fill="auto"/>
                  <w:vAlign w:val="center"/>
                </w:tcPr>
                <w:p w:rsidR="00607F5E" w:rsidRPr="00607F5E" w:rsidRDefault="00607F5E" w:rsidP="0067408C">
                  <w:pPr>
                    <w:rPr>
                      <w:rFonts w:asciiTheme="minorHAnsi" w:hAnsiTheme="minorHAnsi"/>
                      <w:sz w:val="20"/>
                      <w:szCs w:val="20"/>
                    </w:rPr>
                  </w:pPr>
                  <w:r w:rsidRPr="00607F5E">
                    <w:rPr>
                      <w:rFonts w:asciiTheme="minorHAnsi" w:hAnsiTheme="minorHAnsi"/>
                      <w:sz w:val="20"/>
                      <w:szCs w:val="20"/>
                    </w:rPr>
                    <w:t>2014/15</w:t>
                  </w:r>
                </w:p>
              </w:tc>
              <w:tc>
                <w:tcPr>
                  <w:tcW w:w="1646" w:type="dxa"/>
                  <w:shd w:val="clear" w:color="auto" w:fill="auto"/>
                  <w:vAlign w:val="center"/>
                </w:tcPr>
                <w:p w:rsidR="00607F5E" w:rsidRPr="00607F5E" w:rsidRDefault="00607F5E" w:rsidP="0067408C">
                  <w:pPr>
                    <w:rPr>
                      <w:rFonts w:asciiTheme="minorHAnsi" w:hAnsiTheme="minorHAnsi"/>
                      <w:sz w:val="20"/>
                      <w:szCs w:val="20"/>
                    </w:rPr>
                  </w:pPr>
                  <w:r w:rsidRPr="00607F5E">
                    <w:rPr>
                      <w:rFonts w:asciiTheme="minorHAnsi" w:hAnsiTheme="minorHAnsi" w:cs="Arial"/>
                      <w:sz w:val="20"/>
                      <w:szCs w:val="20"/>
                    </w:rPr>
                    <w:t>23,627</w:t>
                  </w:r>
                </w:p>
              </w:tc>
              <w:tc>
                <w:tcPr>
                  <w:tcW w:w="1646" w:type="dxa"/>
                  <w:shd w:val="clear" w:color="auto" w:fill="auto"/>
                  <w:vAlign w:val="center"/>
                </w:tcPr>
                <w:p w:rsidR="00607F5E" w:rsidRPr="00607F5E" w:rsidRDefault="00607F5E" w:rsidP="0067408C">
                  <w:pPr>
                    <w:rPr>
                      <w:rFonts w:asciiTheme="minorHAnsi" w:hAnsiTheme="minorHAnsi"/>
                      <w:sz w:val="20"/>
                      <w:szCs w:val="20"/>
                    </w:rPr>
                  </w:pPr>
                  <w:r w:rsidRPr="00607F5E">
                    <w:rPr>
                      <w:rFonts w:asciiTheme="minorHAnsi" w:hAnsiTheme="minorHAnsi" w:cs="Arial"/>
                      <w:sz w:val="20"/>
                      <w:szCs w:val="20"/>
                    </w:rPr>
                    <w:t>4,221</w:t>
                  </w:r>
                </w:p>
              </w:tc>
              <w:tc>
                <w:tcPr>
                  <w:tcW w:w="1646" w:type="dxa"/>
                  <w:shd w:val="clear" w:color="auto" w:fill="auto"/>
                  <w:vAlign w:val="center"/>
                </w:tcPr>
                <w:p w:rsidR="00607F5E" w:rsidRPr="00607F5E" w:rsidRDefault="00607F5E" w:rsidP="0067408C">
                  <w:pPr>
                    <w:rPr>
                      <w:rFonts w:asciiTheme="minorHAnsi" w:hAnsiTheme="minorHAnsi"/>
                      <w:sz w:val="20"/>
                      <w:szCs w:val="20"/>
                    </w:rPr>
                  </w:pPr>
                  <w:r w:rsidRPr="00607F5E">
                    <w:rPr>
                      <w:rFonts w:asciiTheme="minorHAnsi" w:hAnsiTheme="minorHAnsi" w:cs="Arial"/>
                      <w:color w:val="000000"/>
                      <w:sz w:val="20"/>
                      <w:szCs w:val="20"/>
                    </w:rPr>
                    <w:t>17.87%</w:t>
                  </w:r>
                </w:p>
              </w:tc>
            </w:tr>
            <w:tr w:rsidR="00E968C9" w:rsidRPr="00607F5E" w:rsidTr="00E968C9">
              <w:trPr>
                <w:trHeight w:val="300"/>
              </w:trPr>
              <w:tc>
                <w:tcPr>
                  <w:tcW w:w="902" w:type="dxa"/>
                  <w:shd w:val="clear" w:color="auto" w:fill="auto"/>
                  <w:vAlign w:val="center"/>
                </w:tcPr>
                <w:p w:rsidR="00E968C9" w:rsidRPr="00607F5E" w:rsidRDefault="00E968C9" w:rsidP="0067408C">
                  <w:pPr>
                    <w:rPr>
                      <w:rFonts w:asciiTheme="minorHAnsi" w:hAnsiTheme="minorHAnsi"/>
                      <w:sz w:val="20"/>
                      <w:szCs w:val="20"/>
                    </w:rPr>
                  </w:pPr>
                  <w:r>
                    <w:rPr>
                      <w:rFonts w:asciiTheme="minorHAnsi" w:hAnsiTheme="minorHAnsi"/>
                      <w:sz w:val="20"/>
                      <w:szCs w:val="20"/>
                    </w:rPr>
                    <w:t>2015/16</w:t>
                  </w:r>
                </w:p>
              </w:tc>
              <w:tc>
                <w:tcPr>
                  <w:tcW w:w="1646" w:type="dxa"/>
                  <w:shd w:val="clear" w:color="auto" w:fill="auto"/>
                  <w:vAlign w:val="center"/>
                </w:tcPr>
                <w:p w:rsidR="00E968C9" w:rsidRPr="00607F5E" w:rsidRDefault="00E968C9" w:rsidP="0067408C">
                  <w:pPr>
                    <w:rPr>
                      <w:rFonts w:asciiTheme="minorHAnsi" w:hAnsiTheme="minorHAnsi" w:cs="Arial"/>
                      <w:sz w:val="20"/>
                      <w:szCs w:val="20"/>
                    </w:rPr>
                  </w:pPr>
                  <w:r>
                    <w:rPr>
                      <w:rFonts w:asciiTheme="minorHAnsi" w:hAnsiTheme="minorHAnsi" w:cs="Arial"/>
                      <w:sz w:val="20"/>
                      <w:szCs w:val="20"/>
                    </w:rPr>
                    <w:t>21,982</w:t>
                  </w:r>
                </w:p>
              </w:tc>
              <w:tc>
                <w:tcPr>
                  <w:tcW w:w="1646" w:type="dxa"/>
                  <w:shd w:val="clear" w:color="auto" w:fill="auto"/>
                  <w:vAlign w:val="center"/>
                </w:tcPr>
                <w:p w:rsidR="00E968C9" w:rsidRPr="00607F5E" w:rsidRDefault="00E968C9" w:rsidP="0067408C">
                  <w:pPr>
                    <w:rPr>
                      <w:rFonts w:asciiTheme="minorHAnsi" w:hAnsiTheme="minorHAnsi" w:cs="Arial"/>
                      <w:sz w:val="20"/>
                      <w:szCs w:val="20"/>
                    </w:rPr>
                  </w:pPr>
                  <w:r>
                    <w:rPr>
                      <w:rFonts w:asciiTheme="minorHAnsi" w:hAnsiTheme="minorHAnsi" w:cs="Arial"/>
                      <w:sz w:val="20"/>
                      <w:szCs w:val="20"/>
                    </w:rPr>
                    <w:t>4,059</w:t>
                  </w:r>
                </w:p>
              </w:tc>
              <w:tc>
                <w:tcPr>
                  <w:tcW w:w="1646" w:type="dxa"/>
                  <w:shd w:val="clear" w:color="auto" w:fill="auto"/>
                  <w:vAlign w:val="center"/>
                </w:tcPr>
                <w:p w:rsidR="00E968C9" w:rsidRPr="00607F5E" w:rsidRDefault="00E968C9" w:rsidP="0067408C">
                  <w:pPr>
                    <w:rPr>
                      <w:rFonts w:asciiTheme="minorHAnsi" w:hAnsiTheme="minorHAnsi" w:cs="Arial"/>
                      <w:color w:val="000000"/>
                      <w:sz w:val="20"/>
                      <w:szCs w:val="20"/>
                    </w:rPr>
                  </w:pPr>
                  <w:r>
                    <w:rPr>
                      <w:rFonts w:asciiTheme="minorHAnsi" w:hAnsiTheme="minorHAnsi" w:cs="Arial"/>
                      <w:color w:val="000000"/>
                      <w:sz w:val="20"/>
                      <w:szCs w:val="20"/>
                    </w:rPr>
                    <w:t>18.47%</w:t>
                  </w:r>
                </w:p>
              </w:tc>
            </w:tr>
          </w:tbl>
          <w:p w:rsidR="00E968C9" w:rsidRDefault="00E968C9" w:rsidP="0067408C">
            <w:pPr>
              <w:tabs>
                <w:tab w:val="left" w:pos="1015"/>
                <w:tab w:val="left" w:pos="2661"/>
                <w:tab w:val="left" w:pos="4307"/>
              </w:tabs>
              <w:ind w:left="113"/>
              <w:rPr>
                <w:rFonts w:asciiTheme="minorHAnsi" w:hAnsiTheme="minorHAnsi" w:cs="Arial"/>
                <w:color w:val="000000"/>
                <w:sz w:val="20"/>
                <w:szCs w:val="20"/>
              </w:rPr>
            </w:pPr>
            <w:r>
              <w:rPr>
                <w:rFonts w:asciiTheme="minorHAnsi" w:hAnsiTheme="minorHAnsi"/>
                <w:sz w:val="20"/>
                <w:szCs w:val="20"/>
              </w:rPr>
              <w:tab/>
            </w:r>
            <w:r>
              <w:rPr>
                <w:rFonts w:asciiTheme="minorHAnsi" w:hAnsiTheme="minorHAnsi" w:cs="Arial"/>
                <w:sz w:val="20"/>
                <w:szCs w:val="20"/>
              </w:rPr>
              <w:tab/>
            </w:r>
            <w:r>
              <w:rPr>
                <w:rFonts w:asciiTheme="minorHAnsi" w:hAnsiTheme="minorHAnsi" w:cs="Arial"/>
                <w:sz w:val="20"/>
                <w:szCs w:val="20"/>
              </w:rPr>
              <w:tab/>
            </w:r>
          </w:p>
          <w:p w:rsidR="00907690" w:rsidRPr="00907690" w:rsidRDefault="00907690" w:rsidP="0067408C">
            <w:pPr>
              <w:pStyle w:val="Default"/>
              <w:rPr>
                <w:rFonts w:asciiTheme="minorHAnsi" w:hAnsiTheme="minorHAnsi"/>
                <w:sz w:val="20"/>
                <w:szCs w:val="20"/>
              </w:rPr>
            </w:pPr>
          </w:p>
        </w:tc>
      </w:tr>
      <w:tr w:rsidR="00907690" w:rsidRPr="00907690" w:rsidTr="00BE5E48">
        <w:trPr>
          <w:trHeight w:val="680"/>
        </w:trPr>
        <w:tc>
          <w:tcPr>
            <w:tcW w:w="3227" w:type="dxa"/>
            <w:shd w:val="clear" w:color="auto" w:fill="D9D9D9" w:themeFill="background1" w:themeFillShade="D9"/>
            <w:vAlign w:val="center"/>
          </w:tcPr>
          <w:p w:rsidR="00907690" w:rsidRPr="00345E2E" w:rsidRDefault="00907690" w:rsidP="005F430A">
            <w:pPr>
              <w:rPr>
                <w:rFonts w:asciiTheme="minorHAnsi" w:hAnsiTheme="minorHAnsi"/>
                <w:b/>
                <w:sz w:val="20"/>
                <w:szCs w:val="20"/>
                <w:u w:val="single"/>
              </w:rPr>
            </w:pPr>
            <w:r w:rsidRPr="00345E2E">
              <w:rPr>
                <w:rFonts w:asciiTheme="minorHAnsi" w:hAnsiTheme="minorHAnsi"/>
                <w:b/>
                <w:sz w:val="20"/>
                <w:szCs w:val="20"/>
                <w:u w:val="single"/>
              </w:rPr>
              <w:t xml:space="preserve">For Survey Data </w:t>
            </w:r>
          </w:p>
          <w:p w:rsidR="00907690" w:rsidRPr="00345E2E" w:rsidRDefault="00907690" w:rsidP="005F430A">
            <w:pPr>
              <w:rPr>
                <w:rFonts w:asciiTheme="minorHAnsi" w:hAnsiTheme="minorHAnsi"/>
                <w:b/>
                <w:sz w:val="20"/>
                <w:szCs w:val="20"/>
              </w:rPr>
            </w:pPr>
            <w:r>
              <w:rPr>
                <w:rFonts w:asciiTheme="minorHAnsi" w:hAnsiTheme="minorHAnsi"/>
                <w:b/>
                <w:sz w:val="20"/>
                <w:szCs w:val="20"/>
              </w:rPr>
              <w:t>S</w:t>
            </w:r>
            <w:r w:rsidRPr="00345E2E">
              <w:rPr>
                <w:rFonts w:asciiTheme="minorHAnsi" w:hAnsiTheme="minorHAnsi"/>
                <w:b/>
                <w:sz w:val="20"/>
                <w:szCs w:val="20"/>
              </w:rPr>
              <w:t>ample size and confidence interval for the latest available year:</w:t>
            </w:r>
          </w:p>
        </w:tc>
        <w:tc>
          <w:tcPr>
            <w:tcW w:w="7371"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N/A</w:t>
            </w:r>
          </w:p>
        </w:tc>
      </w:tr>
      <w:tr w:rsidR="00907690" w:rsidRPr="00907690" w:rsidTr="00BE5E48">
        <w:trPr>
          <w:trHeight w:val="1299"/>
        </w:trPr>
        <w:tc>
          <w:tcPr>
            <w:tcW w:w="3227"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UK/</w:t>
            </w:r>
            <w:proofErr w:type="spellStart"/>
            <w:r w:rsidRPr="00345E2E">
              <w:rPr>
                <w:rFonts w:asciiTheme="minorHAnsi" w:hAnsiTheme="minorHAnsi"/>
                <w:b/>
                <w:sz w:val="20"/>
                <w:szCs w:val="20"/>
              </w:rPr>
              <w:t>Ro</w:t>
            </w:r>
            <w:r>
              <w:rPr>
                <w:rFonts w:asciiTheme="minorHAnsi" w:hAnsiTheme="minorHAnsi"/>
                <w:b/>
                <w:sz w:val="20"/>
                <w:szCs w:val="20"/>
              </w:rPr>
              <w:t>I</w:t>
            </w:r>
            <w:proofErr w:type="spellEnd"/>
            <w:r>
              <w:rPr>
                <w:rFonts w:asciiTheme="minorHAnsi" w:hAnsiTheme="minorHAnsi"/>
                <w:b/>
                <w:sz w:val="20"/>
                <w:szCs w:val="20"/>
              </w:rPr>
              <w:t>/International c</w:t>
            </w:r>
            <w:r w:rsidRPr="00345E2E">
              <w:rPr>
                <w:rFonts w:asciiTheme="minorHAnsi" w:hAnsiTheme="minorHAnsi"/>
                <w:b/>
                <w:sz w:val="20"/>
                <w:szCs w:val="20"/>
              </w:rPr>
              <w:t>omparisons:</w:t>
            </w:r>
          </w:p>
        </w:tc>
        <w:tc>
          <w:tcPr>
            <w:tcW w:w="7371" w:type="dxa"/>
            <w:vAlign w:val="center"/>
          </w:tcPr>
          <w:p w:rsidR="00907690" w:rsidRPr="00907690" w:rsidRDefault="00907690" w:rsidP="00907690">
            <w:pPr>
              <w:rPr>
                <w:rFonts w:asciiTheme="minorHAnsi" w:hAnsiTheme="minorHAnsi" w:cs="Arial"/>
                <w:sz w:val="20"/>
                <w:szCs w:val="20"/>
              </w:rPr>
            </w:pPr>
            <w:r w:rsidRPr="00907690">
              <w:rPr>
                <w:rFonts w:asciiTheme="minorHAnsi" w:hAnsiTheme="minorHAnsi" w:cs="Arial"/>
                <w:sz w:val="20"/>
                <w:szCs w:val="20"/>
              </w:rPr>
              <w:t>Whilst the methodology used in Northern Ireland is similar to those used in many other jurisdictions, inherent differences in criminal justice systems and offender characteristics make comparison on an international level difficult to accurately establish. This is an issue all countries providing reoffending rates face and there are projects currently underway to investigate this more closely.</w:t>
            </w:r>
          </w:p>
        </w:tc>
      </w:tr>
      <w:tr w:rsidR="00907690" w:rsidRPr="00907690" w:rsidTr="0067408C">
        <w:trPr>
          <w:trHeight w:val="496"/>
        </w:trPr>
        <w:tc>
          <w:tcPr>
            <w:tcW w:w="3227"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Pr>
                <w:rFonts w:asciiTheme="minorHAnsi" w:hAnsiTheme="minorHAnsi"/>
                <w:b/>
                <w:sz w:val="20"/>
                <w:szCs w:val="20"/>
              </w:rPr>
              <w:t>I</w:t>
            </w:r>
            <w:r w:rsidRPr="00345E2E">
              <w:rPr>
                <w:rFonts w:asciiTheme="minorHAnsi" w:hAnsiTheme="minorHAnsi"/>
                <w:b/>
                <w:sz w:val="20"/>
                <w:szCs w:val="20"/>
              </w:rPr>
              <w:t>ssues in relation to this data</w:t>
            </w:r>
            <w:r>
              <w:rPr>
                <w:rFonts w:asciiTheme="minorHAnsi" w:hAnsiTheme="minorHAnsi"/>
                <w:b/>
                <w:sz w:val="20"/>
                <w:szCs w:val="20"/>
              </w:rPr>
              <w:t xml:space="preserve">, e.g. </w:t>
            </w:r>
            <w:r w:rsidRPr="00345E2E">
              <w:rPr>
                <w:rFonts w:asciiTheme="minorHAnsi" w:hAnsiTheme="minorHAnsi"/>
                <w:b/>
                <w:sz w:val="20"/>
                <w:szCs w:val="20"/>
              </w:rPr>
              <w:t xml:space="preserve">data limitations, future data availability, changes to methodology </w:t>
            </w:r>
          </w:p>
        </w:tc>
        <w:tc>
          <w:tcPr>
            <w:tcW w:w="7371" w:type="dxa"/>
            <w:vAlign w:val="center"/>
          </w:tcPr>
          <w:p w:rsidR="00907690" w:rsidRPr="00907690" w:rsidRDefault="00907690" w:rsidP="00907690">
            <w:pPr>
              <w:autoSpaceDE w:val="0"/>
              <w:autoSpaceDN w:val="0"/>
              <w:adjustRightInd w:val="0"/>
              <w:rPr>
                <w:rFonts w:asciiTheme="minorHAnsi" w:hAnsiTheme="minorHAnsi" w:cs="Arial"/>
                <w:sz w:val="20"/>
                <w:szCs w:val="20"/>
              </w:rPr>
            </w:pPr>
            <w:r w:rsidRPr="00907690">
              <w:rPr>
                <w:rFonts w:asciiTheme="minorHAnsi" w:hAnsiTheme="minorHAnsi" w:cs="Arial"/>
                <w:sz w:val="20"/>
                <w:szCs w:val="20"/>
              </w:rPr>
              <w:t xml:space="preserve">While every care has been taken in collating the data, they are subject to the limitations inherent in any large-scale recording system and to variation in recording practice over time. </w:t>
            </w:r>
          </w:p>
          <w:p w:rsidR="00907690" w:rsidRPr="00907690" w:rsidRDefault="00907690" w:rsidP="00907690">
            <w:pPr>
              <w:rPr>
                <w:rFonts w:asciiTheme="minorHAnsi" w:hAnsiTheme="minorHAnsi"/>
                <w:sz w:val="20"/>
                <w:szCs w:val="20"/>
              </w:rPr>
            </w:pPr>
          </w:p>
          <w:p w:rsidR="00E968C9" w:rsidRPr="00907690" w:rsidRDefault="00907690" w:rsidP="00E968C9">
            <w:pPr>
              <w:shd w:val="clear" w:color="auto" w:fill="FFFFFF" w:themeFill="background1"/>
              <w:rPr>
                <w:rFonts w:asciiTheme="minorHAnsi" w:hAnsiTheme="minorHAnsi"/>
                <w:sz w:val="20"/>
                <w:szCs w:val="20"/>
              </w:rPr>
            </w:pPr>
            <w:r w:rsidRPr="00907690">
              <w:rPr>
                <w:rFonts w:asciiTheme="minorHAnsi" w:hAnsiTheme="minorHAnsi" w:cs="Arial"/>
                <w:sz w:val="20"/>
                <w:szCs w:val="20"/>
              </w:rPr>
              <w:t xml:space="preserve">The ability to compare and discuss trends in reoffending is important to its usefulness as a performance target within government.   However, differences in the offending related characteristics of those included in each cohort make comparing reoffending rates problematic, across both time and jurisdictions. </w:t>
            </w:r>
            <w:r w:rsidRPr="00907690">
              <w:rPr>
                <w:rFonts w:asciiTheme="minorHAnsi" w:hAnsiTheme="minorHAnsi" w:cs="Arial"/>
                <w:color w:val="000000" w:themeColor="text1"/>
                <w:sz w:val="20"/>
                <w:szCs w:val="20"/>
              </w:rPr>
              <w:t>Statistical techniques can and have been employed to control for differences within the cohorts</w:t>
            </w:r>
            <w:r w:rsidR="00E968C9">
              <w:rPr>
                <w:rFonts w:asciiTheme="minorHAnsi" w:hAnsiTheme="minorHAnsi" w:cs="Arial"/>
                <w:color w:val="000000" w:themeColor="text1"/>
                <w:sz w:val="20"/>
                <w:szCs w:val="20"/>
              </w:rPr>
              <w:t>.  When this further analysis was completed and</w:t>
            </w:r>
            <w:r w:rsidR="00E968C9" w:rsidRPr="00043AF0">
              <w:rPr>
                <w:rFonts w:ascii="Arial" w:hAnsi="Arial" w:cs="Arial"/>
                <w:color w:val="000000" w:themeColor="text1"/>
              </w:rPr>
              <w:t xml:space="preserve"> </w:t>
            </w:r>
            <w:r w:rsidR="00E968C9" w:rsidRPr="00E968C9">
              <w:rPr>
                <w:rFonts w:asciiTheme="minorHAnsi" w:hAnsiTheme="minorHAnsi" w:cs="Arial"/>
                <w:color w:val="000000" w:themeColor="text1"/>
                <w:sz w:val="20"/>
                <w:szCs w:val="20"/>
              </w:rPr>
              <w:t xml:space="preserve">reoffending rates </w:t>
            </w:r>
            <w:r w:rsidR="00E968C9" w:rsidRPr="00E968C9">
              <w:rPr>
                <w:rFonts w:asciiTheme="minorHAnsi" w:hAnsiTheme="minorHAnsi" w:cs="Arial"/>
                <w:color w:val="000000" w:themeColor="text1"/>
                <w:sz w:val="20"/>
                <w:szCs w:val="20"/>
              </w:rPr>
              <w:t xml:space="preserve">were adjusted to </w:t>
            </w:r>
            <w:r w:rsidR="00E968C9" w:rsidRPr="00E968C9">
              <w:rPr>
                <w:rFonts w:asciiTheme="minorHAnsi" w:hAnsiTheme="minorHAnsi" w:cs="Arial"/>
                <w:color w:val="000000" w:themeColor="text1"/>
                <w:sz w:val="20"/>
                <w:szCs w:val="20"/>
              </w:rPr>
              <w:t xml:space="preserve"> take into consideration any </w:t>
            </w:r>
            <w:r w:rsidR="00E968C9">
              <w:rPr>
                <w:rFonts w:asciiTheme="minorHAnsi" w:hAnsiTheme="minorHAnsi" w:cs="Arial"/>
                <w:color w:val="000000" w:themeColor="text1"/>
                <w:sz w:val="20"/>
                <w:szCs w:val="20"/>
              </w:rPr>
              <w:t xml:space="preserve">such </w:t>
            </w:r>
            <w:r w:rsidR="00E968C9" w:rsidRPr="00E968C9">
              <w:rPr>
                <w:rFonts w:asciiTheme="minorHAnsi" w:hAnsiTheme="minorHAnsi" w:cs="Arial"/>
                <w:color w:val="000000" w:themeColor="text1"/>
                <w:sz w:val="20"/>
                <w:szCs w:val="20"/>
              </w:rPr>
              <w:t>differences</w:t>
            </w:r>
            <w:bookmarkStart w:id="1" w:name="_GoBack"/>
            <w:bookmarkEnd w:id="1"/>
            <w:r w:rsidR="00E968C9" w:rsidRPr="00E968C9">
              <w:rPr>
                <w:rFonts w:asciiTheme="minorHAnsi" w:hAnsiTheme="minorHAnsi" w:cs="Arial"/>
                <w:color w:val="000000" w:themeColor="text1"/>
                <w:sz w:val="20"/>
                <w:szCs w:val="20"/>
              </w:rPr>
              <w:t>, the</w:t>
            </w:r>
            <w:r w:rsidR="00E968C9" w:rsidRPr="00E968C9">
              <w:rPr>
                <w:rFonts w:asciiTheme="minorHAnsi" w:hAnsiTheme="minorHAnsi" w:cs="Arial"/>
                <w:color w:val="000000" w:themeColor="text1"/>
                <w:sz w:val="20"/>
                <w:szCs w:val="20"/>
              </w:rPr>
              <w:t xml:space="preserve"> increase</w:t>
            </w:r>
            <w:r w:rsidR="00E968C9" w:rsidRPr="00E968C9">
              <w:rPr>
                <w:rFonts w:asciiTheme="minorHAnsi" w:hAnsiTheme="minorHAnsi" w:cs="Arial"/>
                <w:color w:val="000000" w:themeColor="text1"/>
                <w:sz w:val="20"/>
                <w:szCs w:val="20"/>
              </w:rPr>
              <w:t xml:space="preserve"> noted in the 2015/16 Cohort</w:t>
            </w:r>
            <w:r w:rsidR="00E968C9" w:rsidRPr="00E968C9">
              <w:rPr>
                <w:rFonts w:asciiTheme="minorHAnsi" w:hAnsiTheme="minorHAnsi" w:cs="Arial"/>
                <w:color w:val="000000" w:themeColor="text1"/>
                <w:sz w:val="20"/>
                <w:szCs w:val="20"/>
              </w:rPr>
              <w:t xml:space="preserve"> reduces to 0.32 percentage point.</w:t>
            </w:r>
          </w:p>
        </w:tc>
      </w:tr>
      <w:tr w:rsidR="00977923" w:rsidRPr="00907690" w:rsidTr="00BE5E48">
        <w:trPr>
          <w:trHeight w:val="340"/>
        </w:trPr>
        <w:tc>
          <w:tcPr>
            <w:tcW w:w="3227" w:type="dxa"/>
            <w:shd w:val="clear" w:color="auto" w:fill="D9D9D9" w:themeFill="background1" w:themeFillShade="D9"/>
            <w:vAlign w:val="center"/>
          </w:tcPr>
          <w:p w:rsidR="00977923" w:rsidRPr="00907690" w:rsidRDefault="00A535C2" w:rsidP="00907690">
            <w:pPr>
              <w:rPr>
                <w:rFonts w:asciiTheme="minorHAnsi" w:hAnsiTheme="minorHAnsi"/>
                <w:b/>
                <w:sz w:val="20"/>
                <w:szCs w:val="20"/>
              </w:rPr>
            </w:pPr>
            <w:r w:rsidRPr="00907690">
              <w:rPr>
                <w:rFonts w:asciiTheme="minorHAnsi" w:hAnsiTheme="minorHAnsi"/>
                <w:b/>
                <w:sz w:val="20"/>
                <w:szCs w:val="20"/>
              </w:rPr>
              <w:t xml:space="preserve">Is this measure being used to monitor performance against your </w:t>
            </w:r>
            <w:r w:rsidRPr="00907690">
              <w:rPr>
                <w:rFonts w:asciiTheme="minorHAnsi" w:hAnsiTheme="minorHAnsi"/>
                <w:b/>
                <w:sz w:val="20"/>
                <w:szCs w:val="20"/>
              </w:rPr>
              <w:lastRenderedPageBreak/>
              <w:t>current/latest Departmental/ Agency Plan</w:t>
            </w:r>
          </w:p>
        </w:tc>
        <w:tc>
          <w:tcPr>
            <w:tcW w:w="7371" w:type="dxa"/>
            <w:vAlign w:val="center"/>
          </w:tcPr>
          <w:p w:rsidR="00977923" w:rsidRPr="00907690" w:rsidRDefault="00E069F8" w:rsidP="00907690">
            <w:pPr>
              <w:rPr>
                <w:rFonts w:asciiTheme="minorHAnsi" w:hAnsiTheme="minorHAnsi"/>
                <w:sz w:val="20"/>
                <w:szCs w:val="20"/>
              </w:rPr>
            </w:pPr>
            <w:r w:rsidRPr="00907690">
              <w:rPr>
                <w:rFonts w:asciiTheme="minorHAnsi" w:hAnsiTheme="minorHAnsi"/>
                <w:sz w:val="20"/>
                <w:szCs w:val="20"/>
              </w:rPr>
              <w:lastRenderedPageBreak/>
              <w:t>Yes</w:t>
            </w:r>
          </w:p>
        </w:tc>
      </w:tr>
      <w:tr w:rsidR="001668A0" w:rsidRPr="00907690" w:rsidTr="00BE5E48">
        <w:tc>
          <w:tcPr>
            <w:tcW w:w="3227" w:type="dxa"/>
            <w:shd w:val="clear" w:color="auto" w:fill="D9D9D9" w:themeFill="background1" w:themeFillShade="D9"/>
            <w:vAlign w:val="center"/>
          </w:tcPr>
          <w:p w:rsidR="001668A0" w:rsidRPr="00907690" w:rsidRDefault="00806A6E" w:rsidP="00907690">
            <w:pPr>
              <w:rPr>
                <w:rFonts w:asciiTheme="minorHAnsi" w:hAnsiTheme="minorHAnsi"/>
                <w:b/>
                <w:sz w:val="20"/>
                <w:szCs w:val="20"/>
              </w:rPr>
            </w:pPr>
            <w:r w:rsidRPr="00907690">
              <w:rPr>
                <w:rFonts w:asciiTheme="minorHAnsi" w:hAnsiTheme="minorHAnsi"/>
                <w:b/>
                <w:sz w:val="20"/>
                <w:szCs w:val="20"/>
              </w:rPr>
              <w:lastRenderedPageBreak/>
              <w:t>If yes, p</w:t>
            </w:r>
            <w:r w:rsidR="001668A0" w:rsidRPr="00907690">
              <w:rPr>
                <w:rFonts w:asciiTheme="minorHAnsi" w:hAnsiTheme="minorHAnsi"/>
                <w:b/>
                <w:sz w:val="20"/>
                <w:szCs w:val="20"/>
              </w:rPr>
              <w:t>lease specify any particular baseline point/year for the measure which is being for performance monitoring purposes</w:t>
            </w:r>
          </w:p>
        </w:tc>
        <w:tc>
          <w:tcPr>
            <w:tcW w:w="7371" w:type="dxa"/>
            <w:vAlign w:val="center"/>
          </w:tcPr>
          <w:p w:rsidR="001668A0" w:rsidRPr="00907690" w:rsidRDefault="00607F5E" w:rsidP="00907690">
            <w:pPr>
              <w:rPr>
                <w:rFonts w:asciiTheme="minorHAnsi" w:hAnsiTheme="minorHAnsi"/>
                <w:sz w:val="20"/>
                <w:szCs w:val="20"/>
              </w:rPr>
            </w:pPr>
            <w:r>
              <w:rPr>
                <w:rFonts w:asciiTheme="minorHAnsi" w:hAnsiTheme="minorHAnsi"/>
                <w:sz w:val="20"/>
                <w:szCs w:val="20"/>
              </w:rPr>
              <w:t>2013/14</w:t>
            </w:r>
          </w:p>
        </w:tc>
      </w:tr>
    </w:tbl>
    <w:p w:rsidR="00BD4124" w:rsidRPr="00907690" w:rsidRDefault="00BD4124">
      <w:pPr>
        <w:rPr>
          <w:rFonts w:asciiTheme="minorHAnsi" w:hAnsiTheme="minorHAnsi"/>
          <w:sz w:val="20"/>
          <w:szCs w:val="20"/>
        </w:rPr>
      </w:pPr>
    </w:p>
    <w:tbl>
      <w:tblPr>
        <w:tblStyle w:val="TableGrid"/>
        <w:tblW w:w="9658" w:type="dxa"/>
        <w:tblLook w:val="04A0" w:firstRow="1" w:lastRow="0" w:firstColumn="1" w:lastColumn="0" w:noHBand="0" w:noVBand="1"/>
      </w:tblPr>
      <w:tblGrid>
        <w:gridCol w:w="4219"/>
        <w:gridCol w:w="903"/>
        <w:gridCol w:w="4536"/>
      </w:tblGrid>
      <w:tr w:rsidR="00BD4124" w:rsidRPr="00907690" w:rsidTr="00907690">
        <w:trPr>
          <w:trHeight w:val="397"/>
        </w:trPr>
        <w:tc>
          <w:tcPr>
            <w:tcW w:w="4219" w:type="dxa"/>
            <w:tcBorders>
              <w:top w:val="nil"/>
              <w:left w:val="nil"/>
            </w:tcBorders>
            <w:shd w:val="clear" w:color="auto" w:fill="auto"/>
            <w:vAlign w:val="center"/>
          </w:tcPr>
          <w:p w:rsidR="00BD4124" w:rsidRPr="00907690" w:rsidRDefault="00907690" w:rsidP="00907690">
            <w:pPr>
              <w:rPr>
                <w:rFonts w:asciiTheme="minorHAnsi" w:hAnsiTheme="minorHAnsi"/>
                <w:b/>
                <w:sz w:val="20"/>
                <w:szCs w:val="20"/>
              </w:rPr>
            </w:pPr>
            <w:r>
              <w:rPr>
                <w:rFonts w:asciiTheme="minorHAnsi" w:hAnsiTheme="minorHAnsi"/>
                <w:b/>
                <w:sz w:val="20"/>
                <w:szCs w:val="20"/>
              </w:rPr>
              <w:t>Available groupings*</w:t>
            </w:r>
          </w:p>
        </w:tc>
        <w:tc>
          <w:tcPr>
            <w:tcW w:w="903" w:type="dxa"/>
            <w:vAlign w:val="center"/>
          </w:tcPr>
          <w:p w:rsidR="00BD4124" w:rsidRPr="00907690" w:rsidRDefault="00BD4124" w:rsidP="00907690">
            <w:pPr>
              <w:rPr>
                <w:rFonts w:asciiTheme="minorHAnsi" w:hAnsiTheme="minorHAnsi"/>
                <w:b/>
                <w:sz w:val="20"/>
                <w:szCs w:val="20"/>
              </w:rPr>
            </w:pPr>
            <w:r w:rsidRPr="00907690">
              <w:rPr>
                <w:rFonts w:asciiTheme="minorHAnsi" w:hAnsiTheme="minorHAnsi"/>
                <w:b/>
                <w:sz w:val="20"/>
                <w:szCs w:val="20"/>
              </w:rPr>
              <w:t>Yes/No</w:t>
            </w:r>
          </w:p>
        </w:tc>
        <w:tc>
          <w:tcPr>
            <w:tcW w:w="4536" w:type="dxa"/>
            <w:vAlign w:val="center"/>
          </w:tcPr>
          <w:p w:rsidR="00BD4124" w:rsidRPr="00907690" w:rsidRDefault="00BD4124" w:rsidP="00907690">
            <w:pPr>
              <w:rPr>
                <w:rFonts w:asciiTheme="minorHAnsi" w:hAnsiTheme="minorHAnsi"/>
                <w:b/>
                <w:sz w:val="20"/>
                <w:szCs w:val="20"/>
              </w:rPr>
            </w:pPr>
            <w:r w:rsidRPr="00907690">
              <w:rPr>
                <w:rFonts w:asciiTheme="minorHAnsi" w:hAnsiTheme="minorHAnsi"/>
                <w:b/>
                <w:sz w:val="20"/>
                <w:szCs w:val="20"/>
              </w:rPr>
              <w:t>Notes</w:t>
            </w: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 xml:space="preserve"> NI Level</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Yes</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Parliamentary Constituency level</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D248C1" w:rsidP="005F430A">
            <w:pPr>
              <w:rPr>
                <w:rFonts w:asciiTheme="minorHAnsi" w:hAnsiTheme="minorHAnsi"/>
                <w:b/>
                <w:sz w:val="20"/>
                <w:szCs w:val="20"/>
              </w:rPr>
            </w:pPr>
            <w:r>
              <w:rPr>
                <w:rFonts w:asciiTheme="minorHAnsi" w:hAnsiTheme="minorHAnsi"/>
                <w:b/>
                <w:sz w:val="20"/>
                <w:szCs w:val="20"/>
              </w:rPr>
              <w:t>Local Government District (2014) level</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Deprivation Quintile</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b/>
                <w:sz w:val="20"/>
                <w:szCs w:val="20"/>
              </w:rPr>
            </w:pPr>
            <w:r w:rsidRPr="00345E2E">
              <w:rPr>
                <w:rFonts w:asciiTheme="minorHAnsi" w:hAnsiTheme="minorHAnsi"/>
                <w:b/>
                <w:sz w:val="20"/>
                <w:szCs w:val="20"/>
              </w:rPr>
              <w:t>Gender</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Yes</w:t>
            </w:r>
          </w:p>
        </w:tc>
        <w:tc>
          <w:tcPr>
            <w:tcW w:w="4536"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Based on personal report</w:t>
            </w:r>
          </w:p>
        </w:tc>
      </w:tr>
      <w:tr w:rsidR="00907690" w:rsidRPr="00907690" w:rsidTr="00907690">
        <w:trPr>
          <w:trHeight w:val="907"/>
        </w:trPr>
        <w:tc>
          <w:tcPr>
            <w:tcW w:w="4219" w:type="dxa"/>
            <w:shd w:val="clear" w:color="auto" w:fill="D9D9D9" w:themeFill="background1" w:themeFillShade="D9"/>
            <w:vAlign w:val="center"/>
          </w:tcPr>
          <w:p w:rsidR="00907690" w:rsidRPr="00345E2E" w:rsidRDefault="00907690" w:rsidP="005F430A">
            <w:pPr>
              <w:rPr>
                <w:rFonts w:asciiTheme="minorHAnsi" w:hAnsiTheme="minorHAnsi"/>
                <w:sz w:val="20"/>
                <w:szCs w:val="20"/>
              </w:rPr>
            </w:pPr>
            <w:r w:rsidRPr="00345E2E">
              <w:rPr>
                <w:rFonts w:asciiTheme="minorHAnsi" w:hAnsiTheme="minorHAnsi"/>
                <w:b/>
                <w:sz w:val="20"/>
                <w:szCs w:val="20"/>
              </w:rPr>
              <w:t>Age</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Yes</w:t>
            </w:r>
          </w:p>
        </w:tc>
        <w:tc>
          <w:tcPr>
            <w:tcW w:w="4536" w:type="dxa"/>
            <w:vAlign w:val="center"/>
          </w:tcPr>
          <w:p w:rsidR="00907690" w:rsidRPr="00907690" w:rsidRDefault="00907690" w:rsidP="00907690">
            <w:pPr>
              <w:rPr>
                <w:rFonts w:asciiTheme="minorHAnsi" w:hAnsiTheme="minorHAnsi"/>
                <w:sz w:val="20"/>
                <w:szCs w:val="20"/>
              </w:rPr>
            </w:pPr>
            <w:r>
              <w:rPr>
                <w:rFonts w:asciiTheme="minorHAnsi" w:hAnsiTheme="minorHAnsi"/>
                <w:sz w:val="20"/>
                <w:szCs w:val="20"/>
              </w:rPr>
              <w:t>P</w:t>
            </w:r>
            <w:r w:rsidRPr="00907690">
              <w:rPr>
                <w:rFonts w:asciiTheme="minorHAnsi" w:hAnsiTheme="minorHAnsi"/>
                <w:sz w:val="20"/>
                <w:szCs w:val="20"/>
              </w:rPr>
              <w:t>erson’s age as they enter the reoffending cohort, i.e. their age on receipt of a community based sentence or diversionary disposal or release from custody.  Age is presented for youths in a group of 10-13 year olds, followed by 14-17 year olds presented individually.  For adults age is presented in 7 groups.</w:t>
            </w:r>
          </w:p>
          <w:p w:rsidR="00907690" w:rsidRPr="00907690" w:rsidRDefault="00907690" w:rsidP="00907690">
            <w:pPr>
              <w:rPr>
                <w:rFonts w:asciiTheme="minorHAnsi" w:hAnsiTheme="minorHAnsi"/>
                <w:sz w:val="20"/>
                <w:szCs w:val="20"/>
              </w:rPr>
            </w:pPr>
          </w:p>
          <w:p w:rsidR="00907690" w:rsidRPr="00907690" w:rsidRDefault="00907690" w:rsidP="00907690">
            <w:pPr>
              <w:rPr>
                <w:rFonts w:asciiTheme="minorHAnsi" w:hAnsiTheme="minorHAnsi"/>
                <w:sz w:val="20"/>
                <w:szCs w:val="20"/>
              </w:rPr>
            </w:pPr>
            <w:r w:rsidRPr="00907690">
              <w:rPr>
                <w:rFonts w:asciiTheme="minorHAnsi" w:hAnsiTheme="minorHAnsi"/>
                <w:sz w:val="20"/>
                <w:szCs w:val="20"/>
              </w:rPr>
              <w:t>Based on personal report</w:t>
            </w: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sz w:val="20"/>
                <w:szCs w:val="20"/>
              </w:rPr>
            </w:pPr>
            <w:r w:rsidRPr="00345E2E">
              <w:rPr>
                <w:rFonts w:asciiTheme="minorHAnsi" w:hAnsiTheme="minorHAnsi"/>
                <w:b/>
                <w:sz w:val="20"/>
                <w:szCs w:val="20"/>
              </w:rPr>
              <w:t>Marital Status</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sz w:val="20"/>
                <w:szCs w:val="20"/>
              </w:rPr>
            </w:pPr>
            <w:r w:rsidRPr="00345E2E">
              <w:rPr>
                <w:rFonts w:asciiTheme="minorHAnsi" w:hAnsiTheme="minorHAnsi"/>
                <w:b/>
                <w:sz w:val="20"/>
                <w:szCs w:val="20"/>
              </w:rPr>
              <w:t>Religion</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sz w:val="20"/>
                <w:szCs w:val="20"/>
              </w:rPr>
            </w:pPr>
            <w:r w:rsidRPr="00345E2E">
              <w:rPr>
                <w:rFonts w:asciiTheme="minorHAnsi" w:hAnsiTheme="minorHAnsi"/>
                <w:b/>
                <w:sz w:val="20"/>
                <w:szCs w:val="20"/>
              </w:rPr>
              <w:t>Political Opinion</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sz w:val="20"/>
                <w:szCs w:val="20"/>
              </w:rPr>
            </w:pPr>
            <w:r w:rsidRPr="00345E2E">
              <w:rPr>
                <w:rFonts w:asciiTheme="minorHAnsi" w:hAnsiTheme="minorHAnsi"/>
                <w:b/>
                <w:sz w:val="20"/>
                <w:szCs w:val="20"/>
              </w:rPr>
              <w:t>Disability</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sz w:val="20"/>
                <w:szCs w:val="20"/>
              </w:rPr>
            </w:pPr>
            <w:r w:rsidRPr="00345E2E">
              <w:rPr>
                <w:rFonts w:asciiTheme="minorHAnsi" w:hAnsiTheme="minorHAnsi"/>
                <w:b/>
                <w:sz w:val="20"/>
                <w:szCs w:val="20"/>
              </w:rPr>
              <w:t>Dependants</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sz w:val="20"/>
                <w:szCs w:val="20"/>
              </w:rPr>
            </w:pPr>
            <w:r w:rsidRPr="00345E2E">
              <w:rPr>
                <w:rFonts w:asciiTheme="minorHAnsi" w:hAnsiTheme="minorHAnsi"/>
                <w:b/>
                <w:sz w:val="20"/>
                <w:szCs w:val="20"/>
              </w:rPr>
              <w:t>Sexual Orientation</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340"/>
        </w:trPr>
        <w:tc>
          <w:tcPr>
            <w:tcW w:w="4219" w:type="dxa"/>
            <w:shd w:val="clear" w:color="auto" w:fill="D9D9D9" w:themeFill="background1" w:themeFillShade="D9"/>
            <w:vAlign w:val="center"/>
          </w:tcPr>
          <w:p w:rsidR="00907690" w:rsidRPr="00345E2E" w:rsidRDefault="00907690" w:rsidP="005F430A">
            <w:pPr>
              <w:rPr>
                <w:rFonts w:asciiTheme="minorHAnsi" w:hAnsiTheme="minorHAnsi"/>
                <w:sz w:val="20"/>
                <w:szCs w:val="20"/>
              </w:rPr>
            </w:pPr>
            <w:r w:rsidRPr="00345E2E">
              <w:rPr>
                <w:rFonts w:asciiTheme="minorHAnsi" w:hAnsiTheme="minorHAnsi"/>
                <w:b/>
                <w:sz w:val="20"/>
                <w:szCs w:val="20"/>
              </w:rPr>
              <w:t>Racial Group</w:t>
            </w:r>
          </w:p>
        </w:tc>
        <w:tc>
          <w:tcPr>
            <w:tcW w:w="903" w:type="dxa"/>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No</w:t>
            </w:r>
          </w:p>
        </w:tc>
        <w:tc>
          <w:tcPr>
            <w:tcW w:w="4536" w:type="dxa"/>
            <w:vAlign w:val="center"/>
          </w:tcPr>
          <w:p w:rsidR="00907690" w:rsidRPr="00907690" w:rsidRDefault="00907690" w:rsidP="00907690">
            <w:pPr>
              <w:rPr>
                <w:rFonts w:asciiTheme="minorHAnsi" w:hAnsiTheme="minorHAnsi"/>
                <w:sz w:val="20"/>
                <w:szCs w:val="20"/>
              </w:rPr>
            </w:pPr>
          </w:p>
        </w:tc>
      </w:tr>
      <w:tr w:rsidR="00907690" w:rsidRPr="00907690" w:rsidTr="00907690">
        <w:trPr>
          <w:trHeight w:val="567"/>
        </w:trPr>
        <w:tc>
          <w:tcPr>
            <w:tcW w:w="4219" w:type="dxa"/>
            <w:shd w:val="clear" w:color="auto" w:fill="D9D9D9" w:themeFill="background1" w:themeFillShade="D9"/>
            <w:vAlign w:val="center"/>
          </w:tcPr>
          <w:p w:rsidR="00907690" w:rsidRPr="004C2627" w:rsidRDefault="00907690" w:rsidP="005F430A">
            <w:pPr>
              <w:rPr>
                <w:rFonts w:asciiTheme="minorHAnsi" w:hAnsiTheme="minorHAnsi"/>
                <w:b/>
                <w:sz w:val="20"/>
                <w:szCs w:val="20"/>
              </w:rPr>
            </w:pPr>
            <w:r>
              <w:rPr>
                <w:rFonts w:asciiTheme="minorHAnsi" w:hAnsiTheme="minorHAnsi"/>
                <w:b/>
                <w:sz w:val="20"/>
                <w:szCs w:val="20"/>
              </w:rPr>
              <w:t>L</w:t>
            </w:r>
            <w:r w:rsidRPr="00345E2E">
              <w:rPr>
                <w:rFonts w:asciiTheme="minorHAnsi" w:hAnsiTheme="minorHAnsi"/>
                <w:b/>
                <w:sz w:val="20"/>
                <w:szCs w:val="20"/>
              </w:rPr>
              <w:t>owest level geography at which the measure is available:</w:t>
            </w:r>
          </w:p>
        </w:tc>
        <w:tc>
          <w:tcPr>
            <w:tcW w:w="5439" w:type="dxa"/>
            <w:gridSpan w:val="2"/>
            <w:vAlign w:val="center"/>
          </w:tcPr>
          <w:p w:rsidR="00907690" w:rsidRPr="00907690" w:rsidRDefault="00907690" w:rsidP="00907690">
            <w:pPr>
              <w:rPr>
                <w:rFonts w:asciiTheme="minorHAnsi" w:hAnsiTheme="minorHAnsi"/>
                <w:sz w:val="20"/>
                <w:szCs w:val="20"/>
              </w:rPr>
            </w:pPr>
            <w:r w:rsidRPr="00907690">
              <w:rPr>
                <w:rFonts w:asciiTheme="minorHAnsi" w:hAnsiTheme="minorHAnsi"/>
                <w:sz w:val="20"/>
                <w:szCs w:val="20"/>
              </w:rPr>
              <w:t>This information is currently available at Northern Ireland Level.  As more information becomes available to enable geographic breakdown this will be reviewed.</w:t>
            </w:r>
          </w:p>
        </w:tc>
      </w:tr>
    </w:tbl>
    <w:bookmarkEnd w:id="0"/>
    <w:p w:rsidR="00357CC1" w:rsidRPr="00907690" w:rsidRDefault="00907690" w:rsidP="000200B0">
      <w:pPr>
        <w:rPr>
          <w:rFonts w:asciiTheme="minorHAnsi" w:hAnsiTheme="minorHAnsi"/>
          <w:sz w:val="20"/>
          <w:szCs w:val="20"/>
        </w:rPr>
      </w:pPr>
      <w:r w:rsidRPr="000E15DF">
        <w:rPr>
          <w:rFonts w:asciiTheme="minorHAnsi" w:hAnsiTheme="minorHAnsi"/>
          <w:sz w:val="20"/>
          <w:szCs w:val="20"/>
        </w:rPr>
        <w:t>*</w:t>
      </w:r>
      <w:r>
        <w:rPr>
          <w:rFonts w:asciiTheme="minorHAnsi" w:hAnsiTheme="minorHAnsi"/>
          <w:sz w:val="20"/>
          <w:szCs w:val="20"/>
        </w:rPr>
        <w:t xml:space="preserve"> Due to confidentiality constraints, in some instances breakdowns may not be available due to small numbers</w:t>
      </w:r>
    </w:p>
    <w:sectPr w:rsidR="00357CC1" w:rsidRPr="00907690" w:rsidSect="008F671D">
      <w:headerReference w:type="even" r:id="rId10"/>
      <w:headerReference w:type="default" r:id="rId11"/>
      <w:footerReference w:type="even" r:id="rId12"/>
      <w:footerReference w:type="default" r:id="rId13"/>
      <w:headerReference w:type="first" r:id="rId14"/>
      <w:footerReference w:type="first" r:id="rId15"/>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FC3" w:rsidRDefault="00461FC3" w:rsidP="008F671D">
      <w:r>
        <w:separator/>
      </w:r>
    </w:p>
  </w:endnote>
  <w:endnote w:type="continuationSeparator" w:id="0">
    <w:p w:rsidR="00461FC3" w:rsidRDefault="00461FC3"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25" w:rsidRDefault="00085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25" w:rsidRDefault="000856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25" w:rsidRDefault="00085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FC3" w:rsidRDefault="00461FC3" w:rsidP="008F671D">
      <w:r>
        <w:separator/>
      </w:r>
    </w:p>
  </w:footnote>
  <w:footnote w:type="continuationSeparator" w:id="0">
    <w:p w:rsidR="00461FC3" w:rsidRDefault="00461FC3"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25" w:rsidRDefault="00085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1D" w:rsidRPr="00E14E8E" w:rsidRDefault="008F671D"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sidR="00E14E8E">
      <w:rPr>
        <w:rFonts w:asciiTheme="minorHAnsi" w:hAnsiTheme="minorHAnsi" w:cs="Arial"/>
        <w:b/>
        <w:color w:val="808080" w:themeColor="background1" w:themeShade="80"/>
        <w:sz w:val="28"/>
      </w:rPr>
      <w:t>20</w:t>
    </w:r>
    <w:r w:rsidR="001849F8">
      <w:rPr>
        <w:rFonts w:asciiTheme="minorHAnsi" w:hAnsiTheme="minorHAnsi" w:cs="Arial"/>
        <w:b/>
        <w:color w:val="808080" w:themeColor="background1" w:themeShade="80"/>
        <w:sz w:val="28"/>
      </w:rPr>
      <w:t>2</w:t>
    </w:r>
    <w:r w:rsidR="00085625">
      <w:rPr>
        <w:rFonts w:asciiTheme="minorHAnsi" w:hAnsiTheme="minorHAnsi" w:cs="Arial"/>
        <w:b/>
        <w:color w:val="808080" w:themeColor="background1" w:themeShade="80"/>
        <w:sz w:val="28"/>
      </w:rPr>
      <w:t>1</w:t>
    </w:r>
    <w:r w:rsidR="001849F8">
      <w:rPr>
        <w:rFonts w:asciiTheme="minorHAnsi" w:hAnsiTheme="minorHAnsi" w:cs="Arial"/>
        <w:b/>
        <w:color w:val="808080" w:themeColor="background1" w:themeShade="80"/>
        <w:sz w:val="28"/>
      </w:rPr>
      <w:tab/>
    </w:r>
    <w:r w:rsidR="001849F8">
      <w:rPr>
        <w:rFonts w:asciiTheme="minorHAnsi" w:hAnsiTheme="minorHAnsi" w:cs="Arial"/>
        <w:b/>
        <w:color w:val="808080" w:themeColor="background1" w:themeShade="80"/>
        <w:sz w:val="28"/>
      </w:rPr>
      <w:tab/>
    </w:r>
    <w:r w:rsidR="00907690">
      <w:rPr>
        <w:rFonts w:asciiTheme="minorHAnsi" w:hAnsiTheme="minorHAnsi" w:cs="Arial"/>
        <w:b/>
        <w:color w:val="808080" w:themeColor="background1" w:themeShade="80"/>
        <w:sz w:val="28"/>
      </w:rPr>
      <w:tab/>
    </w:r>
    <w:r w:rsidR="00907690">
      <w:rPr>
        <w:rFonts w:asciiTheme="minorHAnsi" w:hAnsiTheme="minorHAnsi" w:cs="Arial"/>
        <w:b/>
        <w:color w:val="808080" w:themeColor="background1" w:themeShade="80"/>
        <w:sz w:val="28"/>
      </w:rPr>
      <w:tab/>
    </w:r>
    <w:r w:rsidR="00907690">
      <w:rPr>
        <w:rFonts w:asciiTheme="minorHAnsi" w:hAnsiTheme="minorHAnsi" w:cs="Arial"/>
        <w:b/>
        <w:color w:val="808080" w:themeColor="background1" w:themeShade="80"/>
        <w:sz w:val="28"/>
      </w:rPr>
      <w:tab/>
    </w:r>
    <w:r w:rsidR="00907690">
      <w:rPr>
        <w:rFonts w:asciiTheme="minorHAnsi" w:hAnsiTheme="minorHAnsi" w:cs="Arial"/>
        <w:b/>
        <w:color w:val="808080" w:themeColor="background1" w:themeShade="80"/>
        <w:sz w:val="28"/>
      </w:rPr>
      <w:tab/>
    </w:r>
    <w:r w:rsidR="00907690">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t>MEASUREMENT 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25" w:rsidRDefault="00085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E4673A"/>
    <w:multiLevelType w:val="hybridMultilevel"/>
    <w:tmpl w:val="D950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B0"/>
    <w:rsid w:val="000200B0"/>
    <w:rsid w:val="000366F3"/>
    <w:rsid w:val="00040DC7"/>
    <w:rsid w:val="0005066C"/>
    <w:rsid w:val="000567D4"/>
    <w:rsid w:val="000739CF"/>
    <w:rsid w:val="00085625"/>
    <w:rsid w:val="000B7C49"/>
    <w:rsid w:val="000C1E6D"/>
    <w:rsid w:val="000F3EE7"/>
    <w:rsid w:val="00146610"/>
    <w:rsid w:val="001668A0"/>
    <w:rsid w:val="00181A53"/>
    <w:rsid w:val="001849F8"/>
    <w:rsid w:val="001863BB"/>
    <w:rsid w:val="00196A7C"/>
    <w:rsid w:val="001A7C4B"/>
    <w:rsid w:val="001B6978"/>
    <w:rsid w:val="001C2C68"/>
    <w:rsid w:val="001D69FA"/>
    <w:rsid w:val="00201E59"/>
    <w:rsid w:val="0022078A"/>
    <w:rsid w:val="00224809"/>
    <w:rsid w:val="00235E3A"/>
    <w:rsid w:val="00254DA2"/>
    <w:rsid w:val="002C004C"/>
    <w:rsid w:val="00316D9E"/>
    <w:rsid w:val="003359C3"/>
    <w:rsid w:val="003470CE"/>
    <w:rsid w:val="003561D8"/>
    <w:rsid w:val="00357289"/>
    <w:rsid w:val="00357CC1"/>
    <w:rsid w:val="00372264"/>
    <w:rsid w:val="00374A9B"/>
    <w:rsid w:val="00397F49"/>
    <w:rsid w:val="003B2435"/>
    <w:rsid w:val="003E6FDF"/>
    <w:rsid w:val="003F74DA"/>
    <w:rsid w:val="0044239E"/>
    <w:rsid w:val="00445246"/>
    <w:rsid w:val="00454E60"/>
    <w:rsid w:val="0045534F"/>
    <w:rsid w:val="00461FC3"/>
    <w:rsid w:val="004A220C"/>
    <w:rsid w:val="004D28B6"/>
    <w:rsid w:val="004D734C"/>
    <w:rsid w:val="004F0C46"/>
    <w:rsid w:val="005064ED"/>
    <w:rsid w:val="00590A9B"/>
    <w:rsid w:val="005C361C"/>
    <w:rsid w:val="005C79AD"/>
    <w:rsid w:val="005E2D0C"/>
    <w:rsid w:val="00607F5E"/>
    <w:rsid w:val="006567F4"/>
    <w:rsid w:val="00673A89"/>
    <w:rsid w:val="0067408C"/>
    <w:rsid w:val="006B0988"/>
    <w:rsid w:val="006D6E49"/>
    <w:rsid w:val="00735E57"/>
    <w:rsid w:val="007637C1"/>
    <w:rsid w:val="00770017"/>
    <w:rsid w:val="007763F1"/>
    <w:rsid w:val="007776FB"/>
    <w:rsid w:val="007A17AE"/>
    <w:rsid w:val="007D0190"/>
    <w:rsid w:val="007D5F35"/>
    <w:rsid w:val="007E423C"/>
    <w:rsid w:val="00806A6E"/>
    <w:rsid w:val="0085076C"/>
    <w:rsid w:val="008757F6"/>
    <w:rsid w:val="00881BD7"/>
    <w:rsid w:val="008B6781"/>
    <w:rsid w:val="008D3291"/>
    <w:rsid w:val="008F0850"/>
    <w:rsid w:val="008F671D"/>
    <w:rsid w:val="00907690"/>
    <w:rsid w:val="009373F2"/>
    <w:rsid w:val="00967A41"/>
    <w:rsid w:val="00967E16"/>
    <w:rsid w:val="00977923"/>
    <w:rsid w:val="00A4083A"/>
    <w:rsid w:val="00A50178"/>
    <w:rsid w:val="00A51CC3"/>
    <w:rsid w:val="00A535C2"/>
    <w:rsid w:val="00AA1225"/>
    <w:rsid w:val="00AD17E7"/>
    <w:rsid w:val="00AE6B78"/>
    <w:rsid w:val="00B6370C"/>
    <w:rsid w:val="00B676AC"/>
    <w:rsid w:val="00BD4124"/>
    <w:rsid w:val="00BE5E48"/>
    <w:rsid w:val="00BE6AC3"/>
    <w:rsid w:val="00CA3739"/>
    <w:rsid w:val="00CD24D4"/>
    <w:rsid w:val="00D248C1"/>
    <w:rsid w:val="00DE5ACB"/>
    <w:rsid w:val="00E069F8"/>
    <w:rsid w:val="00E14E8E"/>
    <w:rsid w:val="00E968C9"/>
    <w:rsid w:val="00EF2DD6"/>
    <w:rsid w:val="00F437E9"/>
    <w:rsid w:val="00F81E8B"/>
    <w:rsid w:val="00FB47D0"/>
    <w:rsid w:val="00FD1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paragraph" w:styleId="ListParagraph">
    <w:name w:val="List Paragraph"/>
    <w:basedOn w:val="Normal"/>
    <w:uiPriority w:val="34"/>
    <w:qFormat/>
    <w:rsid w:val="00FD1C7E"/>
    <w:pPr>
      <w:ind w:left="720"/>
      <w:contextualSpacing/>
    </w:pPr>
  </w:style>
  <w:style w:type="character" w:styleId="FollowedHyperlink">
    <w:name w:val="FollowedHyperlink"/>
    <w:basedOn w:val="DefaultParagraphFont"/>
    <w:uiPriority w:val="99"/>
    <w:semiHidden/>
    <w:unhideWhenUsed/>
    <w:rsid w:val="00374A9B"/>
    <w:rPr>
      <w:color w:val="800080" w:themeColor="followedHyperlink"/>
      <w:u w:val="single"/>
    </w:rPr>
  </w:style>
  <w:style w:type="paragraph" w:customStyle="1" w:styleId="Default">
    <w:name w:val="Default"/>
    <w:rsid w:val="00454E6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paragraph" w:styleId="ListParagraph">
    <w:name w:val="List Paragraph"/>
    <w:basedOn w:val="Normal"/>
    <w:uiPriority w:val="34"/>
    <w:qFormat/>
    <w:rsid w:val="00FD1C7E"/>
    <w:pPr>
      <w:ind w:left="720"/>
      <w:contextualSpacing/>
    </w:pPr>
  </w:style>
  <w:style w:type="character" w:styleId="FollowedHyperlink">
    <w:name w:val="FollowedHyperlink"/>
    <w:basedOn w:val="DefaultParagraphFont"/>
    <w:uiPriority w:val="99"/>
    <w:semiHidden/>
    <w:unhideWhenUsed/>
    <w:rsid w:val="00374A9B"/>
    <w:rPr>
      <w:color w:val="800080" w:themeColor="followedHyperlink"/>
      <w:u w:val="single"/>
    </w:rPr>
  </w:style>
  <w:style w:type="paragraph" w:customStyle="1" w:styleId="Default">
    <w:name w:val="Default"/>
    <w:rsid w:val="00454E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737">
      <w:bodyDiv w:val="1"/>
      <w:marLeft w:val="0"/>
      <w:marRight w:val="0"/>
      <w:marTop w:val="0"/>
      <w:marBottom w:val="0"/>
      <w:divBdr>
        <w:top w:val="none" w:sz="0" w:space="0" w:color="auto"/>
        <w:left w:val="none" w:sz="0" w:space="0" w:color="auto"/>
        <w:bottom w:val="none" w:sz="0" w:space="0" w:color="auto"/>
        <w:right w:val="none" w:sz="0" w:space="0" w:color="auto"/>
      </w:divBdr>
    </w:div>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757676336">
      <w:bodyDiv w:val="1"/>
      <w:marLeft w:val="0"/>
      <w:marRight w:val="0"/>
      <w:marTop w:val="0"/>
      <w:marBottom w:val="0"/>
      <w:divBdr>
        <w:top w:val="none" w:sz="0" w:space="0" w:color="auto"/>
        <w:left w:val="none" w:sz="0" w:space="0" w:color="auto"/>
        <w:bottom w:val="none" w:sz="0" w:space="0" w:color="auto"/>
        <w:right w:val="none" w:sz="0" w:space="0" w:color="auto"/>
      </w:divBdr>
    </w:div>
    <w:div w:id="146272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justice-ni.gov.uk/articles/reoffend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1672E-DE56-403D-8225-99EAD99D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O'Neill</dc:creator>
  <cp:lastModifiedBy>Administrator</cp:lastModifiedBy>
  <cp:revision>3</cp:revision>
  <cp:lastPrinted>2016-04-11T13:16:00Z</cp:lastPrinted>
  <dcterms:created xsi:type="dcterms:W3CDTF">2017-11-14T14:32:00Z</dcterms:created>
  <dcterms:modified xsi:type="dcterms:W3CDTF">2018-09-26T16:16:00Z</dcterms:modified>
</cp:coreProperties>
</file>