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193"/>
        <w:gridCol w:w="9405"/>
      </w:tblGrid>
      <w:tr w:rsidR="003E6FDF" w:rsidRPr="008F671D" w:rsidTr="003E14FC">
        <w:trPr>
          <w:trHeight w:val="397"/>
        </w:trPr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3E6FDF" w:rsidRPr="008F671D" w:rsidRDefault="003E14FC" w:rsidP="00FB47D0">
            <w:pPr>
              <w:rPr>
                <w:rFonts w:asciiTheme="minorHAnsi" w:hAnsiTheme="minorHAnsi"/>
                <w:b/>
                <w:sz w:val="20"/>
              </w:rPr>
            </w:pPr>
            <w:bookmarkStart w:id="0" w:name="OLE_LINK1"/>
            <w:bookmarkStart w:id="1" w:name="_GoBack"/>
            <w:bookmarkEnd w:id="1"/>
            <w:r>
              <w:rPr>
                <w:rFonts w:asciiTheme="minorHAnsi" w:hAnsiTheme="minorHAnsi"/>
                <w:b/>
                <w:sz w:val="20"/>
              </w:rPr>
              <w:t>Indicator</w:t>
            </w:r>
            <w:r w:rsidR="003E6FDF" w:rsidRPr="008F671D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9405" w:type="dxa"/>
            <w:vAlign w:val="center"/>
          </w:tcPr>
          <w:p w:rsidR="00FB47D0" w:rsidRPr="003E14FC" w:rsidRDefault="003E14FC" w:rsidP="003E14FC">
            <w:pPr>
              <w:rPr>
                <w:rFonts w:asciiTheme="minorHAnsi" w:hAnsiTheme="minorHAnsi"/>
                <w:b/>
                <w:sz w:val="20"/>
              </w:rPr>
            </w:pPr>
            <w:r w:rsidRPr="003E14FC">
              <w:rPr>
                <w:rFonts w:asciiTheme="minorHAnsi" w:hAnsiTheme="minorHAnsi" w:cs="Arial"/>
                <w:b/>
                <w:sz w:val="20"/>
              </w:rPr>
              <w:t>Healthy life expectancy at birth</w:t>
            </w:r>
          </w:p>
        </w:tc>
      </w:tr>
    </w:tbl>
    <w:p w:rsidR="00FB47D0" w:rsidRPr="008F671D" w:rsidRDefault="00FB47D0">
      <w:pPr>
        <w:rPr>
          <w:rFonts w:asciiTheme="minorHAnsi" w:hAnsi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59"/>
        <w:gridCol w:w="7239"/>
      </w:tblGrid>
      <w:tr w:rsidR="003E14FC" w:rsidRPr="008F671D" w:rsidTr="00740E56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239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Bill Stewart, Department of Health</w:t>
            </w:r>
          </w:p>
        </w:tc>
      </w:tr>
      <w:tr w:rsidR="003E14FC" w:rsidRPr="008F671D" w:rsidTr="00740E56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239" w:type="dxa"/>
            <w:vAlign w:val="center"/>
          </w:tcPr>
          <w:p w:rsidR="003E14FC" w:rsidRPr="008F671D" w:rsidRDefault="00856353" w:rsidP="00740E56">
            <w:pPr>
              <w:rPr>
                <w:rFonts w:asciiTheme="minorHAnsi" w:hAnsiTheme="minorHAnsi"/>
                <w:sz w:val="20"/>
              </w:rPr>
            </w:pPr>
            <w:hyperlink r:id="rId8" w:history="1">
              <w:r w:rsidR="003E14FC" w:rsidRPr="00DA285C">
                <w:rPr>
                  <w:rStyle w:val="Hyperlink"/>
                  <w:rFonts w:asciiTheme="minorHAnsi" w:hAnsiTheme="minorHAnsi"/>
                  <w:sz w:val="20"/>
                </w:rPr>
                <w:t>https://www.health-ni.gov.uk/articles/regional-health-inequalities-statistics</w:t>
              </w:r>
            </w:hyperlink>
            <w:r w:rsidR="003E14FC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3E14FC" w:rsidRPr="008F671D" w:rsidTr="00740E56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239" w:type="dxa"/>
            <w:vAlign w:val="center"/>
          </w:tcPr>
          <w:p w:rsidR="003E14FC" w:rsidRPr="00C865E5" w:rsidRDefault="003E14FC" w:rsidP="00740E56">
            <w:pPr>
              <w:rPr>
                <w:rFonts w:asciiTheme="minorHAnsi" w:hAnsiTheme="minorHAnsi"/>
                <w:sz w:val="20"/>
              </w:rPr>
            </w:pPr>
            <w:r w:rsidRPr="00C865E5">
              <w:rPr>
                <w:rFonts w:asciiTheme="minorHAnsi" w:hAnsiTheme="minorHAnsi"/>
                <w:sz w:val="20"/>
              </w:rPr>
              <w:t>Annual</w:t>
            </w:r>
          </w:p>
        </w:tc>
      </w:tr>
      <w:tr w:rsidR="003E14FC" w:rsidRPr="008F671D" w:rsidTr="00740E56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239" w:type="dxa"/>
            <w:vAlign w:val="center"/>
          </w:tcPr>
          <w:p w:rsidR="003E14FC" w:rsidRPr="00C865E5" w:rsidRDefault="00AA6EA3" w:rsidP="00740E56">
            <w:pPr>
              <w:rPr>
                <w:rFonts w:asciiTheme="minorHAnsi" w:hAnsiTheme="minorHAnsi"/>
                <w:sz w:val="20"/>
              </w:rPr>
            </w:pPr>
            <w:r w:rsidRPr="00C865E5">
              <w:rPr>
                <w:rFonts w:asciiTheme="minorHAnsi" w:hAnsiTheme="minorHAnsi"/>
                <w:sz w:val="20"/>
              </w:rPr>
              <w:t>1 year</w:t>
            </w:r>
          </w:p>
        </w:tc>
      </w:tr>
      <w:tr w:rsidR="003E14FC" w:rsidRPr="008F671D" w:rsidTr="00740E56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239" w:type="dxa"/>
            <w:vAlign w:val="center"/>
          </w:tcPr>
          <w:p w:rsidR="003E14FC" w:rsidRPr="00C865E5" w:rsidRDefault="003E14FC" w:rsidP="00740E56">
            <w:pPr>
              <w:rPr>
                <w:rFonts w:asciiTheme="minorHAnsi" w:hAnsiTheme="minorHAnsi"/>
                <w:sz w:val="20"/>
              </w:rPr>
            </w:pPr>
            <w:r w:rsidRPr="00C865E5">
              <w:rPr>
                <w:rFonts w:asciiTheme="minorHAnsi" w:hAnsiTheme="minorHAnsi"/>
                <w:sz w:val="20"/>
              </w:rPr>
              <w:t>Health Survey Northern Ireland, Interim Life Tables (Demography Methodology Branch), Labour Force Survey Population Estimates (DFP), Mid-Year Population Estimates (Demography Methodology Branch).</w:t>
            </w:r>
          </w:p>
        </w:tc>
      </w:tr>
      <w:tr w:rsidR="003E14FC" w:rsidRPr="008F671D" w:rsidTr="00740E56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239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Official Statistics</w:t>
            </w:r>
          </w:p>
        </w:tc>
      </w:tr>
      <w:tr w:rsidR="003E14FC" w:rsidRPr="008F671D" w:rsidTr="00740E56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239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3E14FC" w:rsidRPr="008F671D" w:rsidTr="00740E56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239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2010-12</w:t>
            </w:r>
          </w:p>
        </w:tc>
      </w:tr>
      <w:tr w:rsidR="003E14FC" w:rsidRPr="008F671D" w:rsidTr="00740E56">
        <w:trPr>
          <w:trHeight w:val="3729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14FC" w:rsidRPr="00345E2E" w:rsidRDefault="003E14FC" w:rsidP="00922F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9"/>
              <w:gridCol w:w="1107"/>
              <w:gridCol w:w="1107"/>
              <w:gridCol w:w="1107"/>
              <w:gridCol w:w="1107"/>
              <w:gridCol w:w="1107"/>
            </w:tblGrid>
            <w:tr w:rsidR="00C865E5" w:rsidRPr="00C865E5" w:rsidTr="00AA6EA3">
              <w:tc>
                <w:tcPr>
                  <w:tcW w:w="1439" w:type="dxa"/>
                </w:tcPr>
                <w:p w:rsidR="000E5C99" w:rsidRPr="00C865E5" w:rsidRDefault="000E5C99" w:rsidP="00740E56">
                  <w:pPr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>Healthy life expectancy at birth*</w:t>
                  </w:r>
                </w:p>
              </w:tc>
              <w:tc>
                <w:tcPr>
                  <w:tcW w:w="11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5C99" w:rsidRPr="00C865E5" w:rsidRDefault="000E5C99" w:rsidP="00AA6EA3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>2010-12</w:t>
                  </w:r>
                </w:p>
              </w:tc>
              <w:tc>
                <w:tcPr>
                  <w:tcW w:w="11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5C99" w:rsidRPr="00C865E5" w:rsidRDefault="000E5C99" w:rsidP="00AA6EA3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>2011-13</w:t>
                  </w:r>
                </w:p>
              </w:tc>
              <w:tc>
                <w:tcPr>
                  <w:tcW w:w="11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5C99" w:rsidRPr="00C865E5" w:rsidRDefault="000E5C99" w:rsidP="00AA6EA3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>2012-14</w:t>
                  </w:r>
                </w:p>
              </w:tc>
              <w:tc>
                <w:tcPr>
                  <w:tcW w:w="11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5C99" w:rsidRPr="00C865E5" w:rsidRDefault="000E5C99" w:rsidP="00AA6EA3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>2013-15</w:t>
                  </w:r>
                </w:p>
              </w:tc>
              <w:tc>
                <w:tcPr>
                  <w:tcW w:w="11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5C99" w:rsidRPr="00C865E5" w:rsidRDefault="000E5C99" w:rsidP="00AA6EA3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>2014-16</w:t>
                  </w:r>
                </w:p>
              </w:tc>
            </w:tr>
            <w:tr w:rsidR="00C865E5" w:rsidRPr="00C865E5" w:rsidTr="00AA6EA3">
              <w:tc>
                <w:tcPr>
                  <w:tcW w:w="1439" w:type="dxa"/>
                </w:tcPr>
                <w:p w:rsidR="000E5C99" w:rsidRPr="00C865E5" w:rsidRDefault="000E5C99" w:rsidP="00740E56">
                  <w:pPr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>Male</w:t>
                  </w:r>
                </w:p>
              </w:tc>
              <w:tc>
                <w:tcPr>
                  <w:tcW w:w="11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5C99" w:rsidRPr="00C865E5" w:rsidRDefault="000E5C99" w:rsidP="00AA6EA3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 xml:space="preserve">58.5 years </w:t>
                  </w:r>
                </w:p>
              </w:tc>
              <w:tc>
                <w:tcPr>
                  <w:tcW w:w="11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5C99" w:rsidRPr="00C865E5" w:rsidRDefault="000E5C99" w:rsidP="00AA6EA3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 xml:space="preserve">58.4 years </w:t>
                  </w:r>
                </w:p>
              </w:tc>
              <w:tc>
                <w:tcPr>
                  <w:tcW w:w="11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5C99" w:rsidRPr="00C865E5" w:rsidRDefault="000E5C99" w:rsidP="00AA6EA3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 xml:space="preserve">58.7 years </w:t>
                  </w:r>
                </w:p>
              </w:tc>
              <w:tc>
                <w:tcPr>
                  <w:tcW w:w="11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5C99" w:rsidRPr="00C865E5" w:rsidRDefault="000E5C99" w:rsidP="00464DC7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>5</w:t>
                  </w:r>
                  <w:r w:rsidR="00464DC7" w:rsidRPr="00C865E5">
                    <w:rPr>
                      <w:rFonts w:asciiTheme="minorHAnsi" w:hAnsiTheme="minorHAnsi"/>
                      <w:sz w:val="20"/>
                    </w:rPr>
                    <w:t>8</w:t>
                  </w:r>
                  <w:r w:rsidRPr="00C865E5">
                    <w:rPr>
                      <w:rFonts w:asciiTheme="minorHAnsi" w:hAnsiTheme="minorHAnsi"/>
                      <w:sz w:val="20"/>
                    </w:rPr>
                    <w:t>.4</w:t>
                  </w:r>
                  <w:r w:rsidR="00AA6EA3" w:rsidRPr="00C865E5">
                    <w:rPr>
                      <w:rFonts w:asciiTheme="minorHAnsi" w:hAnsiTheme="minorHAnsi"/>
                      <w:sz w:val="20"/>
                    </w:rPr>
                    <w:t xml:space="preserve"> years</w:t>
                  </w:r>
                </w:p>
              </w:tc>
              <w:tc>
                <w:tcPr>
                  <w:tcW w:w="11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5C99" w:rsidRPr="00C865E5" w:rsidRDefault="000E5C99" w:rsidP="00AA6EA3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>59.1</w:t>
                  </w:r>
                  <w:r w:rsidR="00AA6EA3" w:rsidRPr="00C865E5">
                    <w:rPr>
                      <w:rFonts w:asciiTheme="minorHAnsi" w:hAnsiTheme="minorHAnsi"/>
                      <w:sz w:val="20"/>
                    </w:rPr>
                    <w:t xml:space="preserve"> years</w:t>
                  </w:r>
                </w:p>
              </w:tc>
            </w:tr>
            <w:tr w:rsidR="00C865E5" w:rsidRPr="00C865E5" w:rsidTr="00AA6EA3">
              <w:tc>
                <w:tcPr>
                  <w:tcW w:w="1439" w:type="dxa"/>
                </w:tcPr>
                <w:p w:rsidR="000E5C99" w:rsidRPr="00C865E5" w:rsidRDefault="000E5C99" w:rsidP="00740E56">
                  <w:pPr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>Female</w:t>
                  </w:r>
                </w:p>
              </w:tc>
              <w:tc>
                <w:tcPr>
                  <w:tcW w:w="11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5C99" w:rsidRPr="00C865E5" w:rsidRDefault="000E5C99" w:rsidP="00AA6EA3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>61.6 years</w:t>
                  </w:r>
                </w:p>
              </w:tc>
              <w:tc>
                <w:tcPr>
                  <w:tcW w:w="11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5C99" w:rsidRPr="00C865E5" w:rsidRDefault="000E5C99" w:rsidP="00AA6EA3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>61.6 years</w:t>
                  </w:r>
                </w:p>
              </w:tc>
              <w:tc>
                <w:tcPr>
                  <w:tcW w:w="11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5C99" w:rsidRPr="00C865E5" w:rsidRDefault="000E5C99" w:rsidP="00AA6EA3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>61.7 years</w:t>
                  </w:r>
                </w:p>
              </w:tc>
              <w:tc>
                <w:tcPr>
                  <w:tcW w:w="11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5C99" w:rsidRPr="00C865E5" w:rsidRDefault="000E5C99" w:rsidP="00AA6EA3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>61.0</w:t>
                  </w:r>
                  <w:r w:rsidR="00AA6EA3" w:rsidRPr="00C865E5">
                    <w:rPr>
                      <w:rFonts w:asciiTheme="minorHAnsi" w:hAnsiTheme="minorHAnsi"/>
                      <w:sz w:val="20"/>
                    </w:rPr>
                    <w:t xml:space="preserve"> years</w:t>
                  </w:r>
                </w:p>
              </w:tc>
              <w:tc>
                <w:tcPr>
                  <w:tcW w:w="11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5C99" w:rsidRPr="00C865E5" w:rsidRDefault="000E5C99" w:rsidP="00AA6EA3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C865E5">
                    <w:rPr>
                      <w:rFonts w:asciiTheme="minorHAnsi" w:hAnsiTheme="minorHAnsi"/>
                      <w:sz w:val="20"/>
                    </w:rPr>
                    <w:t>60.9</w:t>
                  </w:r>
                  <w:r w:rsidR="00AA6EA3" w:rsidRPr="00C865E5">
                    <w:rPr>
                      <w:rFonts w:asciiTheme="minorHAnsi" w:hAnsiTheme="minorHAnsi"/>
                      <w:sz w:val="20"/>
                    </w:rPr>
                    <w:t xml:space="preserve"> years</w:t>
                  </w:r>
                </w:p>
              </w:tc>
            </w:tr>
          </w:tbl>
          <w:p w:rsidR="003E14FC" w:rsidRPr="00C865E5" w:rsidRDefault="003E14FC" w:rsidP="00740E56">
            <w:pPr>
              <w:rPr>
                <w:rFonts w:asciiTheme="minorHAnsi" w:hAnsiTheme="minorHAnsi"/>
                <w:sz w:val="20"/>
              </w:rPr>
            </w:pPr>
          </w:p>
          <w:p w:rsidR="003E14FC" w:rsidRPr="00C865E5" w:rsidRDefault="003E14FC" w:rsidP="00740E56">
            <w:pPr>
              <w:rPr>
                <w:rFonts w:asciiTheme="minorHAnsi" w:hAnsiTheme="minorHAnsi"/>
                <w:sz w:val="20"/>
              </w:rPr>
            </w:pPr>
            <w:r w:rsidRPr="00C865E5">
              <w:rPr>
                <w:rFonts w:asciiTheme="minorHAnsi" w:hAnsiTheme="minorHAnsi"/>
                <w:sz w:val="20"/>
              </w:rPr>
              <w:t>In 201</w:t>
            </w:r>
            <w:r w:rsidR="004E4383" w:rsidRPr="00C865E5">
              <w:rPr>
                <w:rFonts w:asciiTheme="minorHAnsi" w:hAnsiTheme="minorHAnsi"/>
                <w:sz w:val="20"/>
              </w:rPr>
              <w:t>4</w:t>
            </w:r>
            <w:r w:rsidRPr="00C865E5">
              <w:rPr>
                <w:rFonts w:asciiTheme="minorHAnsi" w:hAnsiTheme="minorHAnsi"/>
                <w:sz w:val="20"/>
              </w:rPr>
              <w:t>-1</w:t>
            </w:r>
            <w:r w:rsidR="004E4383" w:rsidRPr="00C865E5">
              <w:rPr>
                <w:rFonts w:asciiTheme="minorHAnsi" w:hAnsiTheme="minorHAnsi"/>
                <w:sz w:val="20"/>
              </w:rPr>
              <w:t>6</w:t>
            </w:r>
            <w:r w:rsidRPr="00C865E5">
              <w:rPr>
                <w:rFonts w:asciiTheme="minorHAnsi" w:hAnsiTheme="minorHAnsi"/>
                <w:sz w:val="20"/>
              </w:rPr>
              <w:t xml:space="preserve"> healthy life expectancy at birth stood at 5</w:t>
            </w:r>
            <w:r w:rsidR="004E4383" w:rsidRPr="00C865E5">
              <w:rPr>
                <w:rFonts w:asciiTheme="minorHAnsi" w:hAnsiTheme="minorHAnsi"/>
                <w:sz w:val="20"/>
              </w:rPr>
              <w:t>9.1</w:t>
            </w:r>
            <w:r w:rsidRPr="00C865E5">
              <w:rPr>
                <w:rFonts w:asciiTheme="minorHAnsi" w:hAnsiTheme="minorHAnsi"/>
                <w:sz w:val="20"/>
              </w:rPr>
              <w:t xml:space="preserve"> years for males and 6</w:t>
            </w:r>
            <w:r w:rsidR="004E4383" w:rsidRPr="00C865E5">
              <w:rPr>
                <w:rFonts w:asciiTheme="minorHAnsi" w:hAnsiTheme="minorHAnsi"/>
                <w:sz w:val="20"/>
              </w:rPr>
              <w:t>0</w:t>
            </w:r>
            <w:r w:rsidRPr="00C865E5">
              <w:rPr>
                <w:rFonts w:asciiTheme="minorHAnsi" w:hAnsiTheme="minorHAnsi"/>
                <w:sz w:val="20"/>
              </w:rPr>
              <w:t>.</w:t>
            </w:r>
            <w:r w:rsidR="004E4383" w:rsidRPr="00C865E5">
              <w:rPr>
                <w:rFonts w:asciiTheme="minorHAnsi" w:hAnsiTheme="minorHAnsi"/>
                <w:sz w:val="20"/>
              </w:rPr>
              <w:t>9</w:t>
            </w:r>
            <w:r w:rsidRPr="00C865E5">
              <w:rPr>
                <w:rFonts w:asciiTheme="minorHAnsi" w:hAnsiTheme="minorHAnsi"/>
                <w:sz w:val="20"/>
              </w:rPr>
              <w:t xml:space="preserve"> years for females. Healthy life expectancy has remained similar over the last </w:t>
            </w:r>
            <w:r w:rsidR="00244E5F" w:rsidRPr="00C865E5">
              <w:rPr>
                <w:rFonts w:asciiTheme="minorHAnsi" w:hAnsiTheme="minorHAnsi"/>
                <w:sz w:val="20"/>
              </w:rPr>
              <w:t>five</w:t>
            </w:r>
            <w:r w:rsidRPr="00C865E5">
              <w:rPr>
                <w:rFonts w:asciiTheme="minorHAnsi" w:hAnsiTheme="minorHAnsi"/>
                <w:sz w:val="20"/>
              </w:rPr>
              <w:t xml:space="preserve"> years for both males and females. It should be noted that healthy life expectancy estimates at NI level are subject to a confidence interval of around +/- 0.7 years and this has been considered when describing changes in figures over time.</w:t>
            </w:r>
          </w:p>
          <w:p w:rsidR="003E14FC" w:rsidRPr="00C865E5" w:rsidRDefault="003E14FC" w:rsidP="00740E56">
            <w:pPr>
              <w:rPr>
                <w:rFonts w:asciiTheme="minorHAnsi" w:hAnsiTheme="minorHAnsi"/>
                <w:sz w:val="20"/>
              </w:rPr>
            </w:pPr>
          </w:p>
          <w:p w:rsidR="003E14FC" w:rsidRPr="00C865E5" w:rsidRDefault="003E14FC" w:rsidP="00740E56">
            <w:pPr>
              <w:rPr>
                <w:rFonts w:asciiTheme="minorHAnsi" w:hAnsiTheme="minorHAnsi"/>
                <w:sz w:val="20"/>
              </w:rPr>
            </w:pPr>
            <w:r w:rsidRPr="00C865E5">
              <w:rPr>
                <w:rFonts w:asciiTheme="minorHAnsi" w:hAnsiTheme="minorHAnsi"/>
                <w:sz w:val="20"/>
              </w:rPr>
              <w:t>* Communal establishment data from the census is now excluded from the calculation therefore figures differ from those published previously.</w:t>
            </w:r>
          </w:p>
        </w:tc>
      </w:tr>
      <w:tr w:rsidR="003E14FC" w:rsidRPr="008F671D" w:rsidTr="00740E56">
        <w:trPr>
          <w:trHeight w:val="68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239" w:type="dxa"/>
            <w:vAlign w:val="center"/>
          </w:tcPr>
          <w:p w:rsidR="003E14FC" w:rsidRPr="00C865E5" w:rsidRDefault="003E14FC" w:rsidP="00740E56">
            <w:pPr>
              <w:rPr>
                <w:rFonts w:asciiTheme="minorHAnsi" w:hAnsiTheme="minorHAnsi"/>
                <w:sz w:val="20"/>
              </w:rPr>
            </w:pPr>
            <w:r w:rsidRPr="00C865E5">
              <w:rPr>
                <w:rFonts w:asciiTheme="minorHAnsi" w:hAnsiTheme="minorHAnsi"/>
                <w:sz w:val="20"/>
              </w:rPr>
              <w:t xml:space="preserve">Sample size: </w:t>
            </w:r>
            <w:r w:rsidR="00244E5F" w:rsidRPr="00C865E5">
              <w:rPr>
                <w:rFonts w:asciiTheme="minorHAnsi" w:hAnsiTheme="minorHAnsi"/>
                <w:sz w:val="20"/>
              </w:rPr>
              <w:t>16,172</w:t>
            </w:r>
            <w:r w:rsidRPr="00C865E5">
              <w:rPr>
                <w:rFonts w:asciiTheme="minorHAnsi" w:hAnsiTheme="minorHAnsi"/>
                <w:sz w:val="20"/>
              </w:rPr>
              <w:t xml:space="preserve"> (both genders), </w:t>
            </w:r>
          </w:p>
          <w:p w:rsidR="003E14FC" w:rsidRPr="00C865E5" w:rsidRDefault="003E14FC" w:rsidP="00740E56">
            <w:pPr>
              <w:rPr>
                <w:rFonts w:asciiTheme="minorHAnsi" w:hAnsiTheme="minorHAnsi"/>
                <w:sz w:val="20"/>
              </w:rPr>
            </w:pPr>
            <w:r w:rsidRPr="00C865E5">
              <w:rPr>
                <w:rFonts w:asciiTheme="minorHAnsi" w:hAnsiTheme="minorHAnsi"/>
                <w:sz w:val="20"/>
              </w:rPr>
              <w:t>Confidence interval: +/- 0.7 years</w:t>
            </w:r>
          </w:p>
        </w:tc>
      </w:tr>
      <w:tr w:rsidR="003E14FC" w:rsidRPr="008F671D" w:rsidTr="00740E56">
        <w:trPr>
          <w:trHeight w:hRule="exact" w:val="1814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</w:t>
            </w:r>
            <w:proofErr w:type="spellStart"/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239" w:type="dxa"/>
            <w:vAlign w:val="center"/>
          </w:tcPr>
          <w:p w:rsidR="003E14FC" w:rsidRPr="00C865E5" w:rsidRDefault="003E14FC" w:rsidP="00740E56">
            <w:pPr>
              <w:rPr>
                <w:rFonts w:asciiTheme="minorHAnsi" w:hAnsiTheme="minorHAnsi"/>
                <w:sz w:val="20"/>
              </w:rPr>
            </w:pPr>
            <w:r w:rsidRPr="00C865E5">
              <w:rPr>
                <w:rFonts w:asciiTheme="minorHAnsi" w:hAnsiTheme="minorHAnsi"/>
                <w:sz w:val="20"/>
              </w:rPr>
              <w:t>UK: available</w:t>
            </w:r>
          </w:p>
          <w:p w:rsidR="003E14FC" w:rsidRPr="00C865E5" w:rsidRDefault="003E14FC" w:rsidP="00740E56">
            <w:pPr>
              <w:rPr>
                <w:rFonts w:asciiTheme="minorHAnsi" w:hAnsiTheme="minorHAnsi"/>
                <w:sz w:val="20"/>
              </w:rPr>
            </w:pPr>
            <w:r w:rsidRPr="00C865E5">
              <w:rPr>
                <w:rFonts w:asciiTheme="minorHAnsi" w:hAnsiTheme="minorHAnsi"/>
                <w:sz w:val="20"/>
              </w:rPr>
              <w:t>UK Regional: available</w:t>
            </w:r>
          </w:p>
          <w:p w:rsidR="003E14FC" w:rsidRPr="00C865E5" w:rsidRDefault="003E14FC" w:rsidP="00740E56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865E5">
              <w:rPr>
                <w:rFonts w:asciiTheme="minorHAnsi" w:hAnsiTheme="minorHAnsi"/>
                <w:sz w:val="20"/>
              </w:rPr>
              <w:t>RoI</w:t>
            </w:r>
            <w:proofErr w:type="spellEnd"/>
            <w:r w:rsidRPr="00C865E5">
              <w:rPr>
                <w:rFonts w:asciiTheme="minorHAnsi" w:hAnsiTheme="minorHAnsi"/>
                <w:sz w:val="20"/>
              </w:rPr>
              <w:t>: available</w:t>
            </w:r>
          </w:p>
          <w:p w:rsidR="003E14FC" w:rsidRPr="00C865E5" w:rsidRDefault="003E14FC" w:rsidP="00740E56">
            <w:pPr>
              <w:rPr>
                <w:rFonts w:asciiTheme="minorHAnsi" w:hAnsiTheme="minorHAnsi"/>
                <w:sz w:val="20"/>
              </w:rPr>
            </w:pPr>
            <w:r w:rsidRPr="00C865E5">
              <w:rPr>
                <w:rFonts w:asciiTheme="minorHAnsi" w:hAnsiTheme="minorHAnsi"/>
                <w:sz w:val="20"/>
              </w:rPr>
              <w:t xml:space="preserve">International (please specify countries): European countries, Australia, USA, China, </w:t>
            </w:r>
            <w:proofErr w:type="gramStart"/>
            <w:r w:rsidRPr="00C865E5">
              <w:rPr>
                <w:rFonts w:asciiTheme="minorHAnsi" w:hAnsiTheme="minorHAnsi"/>
                <w:sz w:val="20"/>
              </w:rPr>
              <w:t>Japan</w:t>
            </w:r>
            <w:proofErr w:type="gramEnd"/>
            <w:r w:rsidRPr="00C865E5">
              <w:rPr>
                <w:rFonts w:asciiTheme="minorHAnsi" w:hAnsiTheme="minorHAnsi"/>
                <w:sz w:val="20"/>
              </w:rPr>
              <w:t>.</w:t>
            </w:r>
          </w:p>
          <w:p w:rsidR="003E14FC" w:rsidRPr="00C865E5" w:rsidRDefault="003E14FC" w:rsidP="00740E56">
            <w:pPr>
              <w:rPr>
                <w:rFonts w:asciiTheme="minorHAnsi" w:hAnsiTheme="minorHAnsi"/>
                <w:sz w:val="20"/>
              </w:rPr>
            </w:pPr>
            <w:r w:rsidRPr="00C865E5">
              <w:rPr>
                <w:rFonts w:asciiTheme="minorHAnsi" w:hAnsiTheme="minorHAnsi"/>
                <w:sz w:val="20"/>
              </w:rPr>
              <w:t>Comparisons are not always directly comparable due to difference in surveying methods and calculation.</w:t>
            </w:r>
          </w:p>
        </w:tc>
      </w:tr>
      <w:tr w:rsidR="003E14FC" w:rsidRPr="008F671D" w:rsidTr="00740E56">
        <w:trPr>
          <w:trHeight w:val="1417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239" w:type="dxa"/>
            <w:vAlign w:val="center"/>
          </w:tcPr>
          <w:p w:rsidR="003E14FC" w:rsidRDefault="003E14FC" w:rsidP="00740E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1061DA">
              <w:rPr>
                <w:rFonts w:asciiTheme="minorHAnsi" w:hAnsiTheme="minorHAnsi"/>
                <w:sz w:val="20"/>
              </w:rPr>
              <w:t xml:space="preserve">Comparisons with other countries are not always directly comparable due to difference in surveying methods and calculation. </w:t>
            </w:r>
          </w:p>
          <w:p w:rsidR="003E14FC" w:rsidRDefault="003E14FC" w:rsidP="00740E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Data is not robust below deprivation quintile level and is subject to confidence limits.</w:t>
            </w:r>
          </w:p>
          <w:p w:rsidR="003E14FC" w:rsidRDefault="003E14FC" w:rsidP="00740E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Figure is based on Health Survey Northern Ireland (HSNI) participants’ self-reporting of health status and may be affected by any changes to sampling or surveying methods that may occur in the future.</w:t>
            </w:r>
          </w:p>
          <w:p w:rsidR="003E14FC" w:rsidRDefault="003E14FC" w:rsidP="00740E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Information is reliant on the continuation of the HSNI and inclusion of the general health question.</w:t>
            </w:r>
          </w:p>
          <w:p w:rsidR="003E14FC" w:rsidRPr="001061DA" w:rsidRDefault="003E14FC" w:rsidP="00740E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Communal establishment data from the census is now excluded from the calculation therefore figures differ from those published previously.</w:t>
            </w:r>
          </w:p>
        </w:tc>
      </w:tr>
      <w:tr w:rsidR="00977923" w:rsidRPr="008F671D" w:rsidTr="00740E56">
        <w:trPr>
          <w:trHeight w:val="340"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977923" w:rsidRPr="008F671D" w:rsidRDefault="003E14FC" w:rsidP="00FB47D0">
            <w:pPr>
              <w:rPr>
                <w:rFonts w:asciiTheme="minorHAnsi" w:hAnsiTheme="minorHAnsi"/>
                <w:b/>
                <w:sz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Is this measure being used to monitor performance against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the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current/latest Departmental/ Agency Plan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  <w:tc>
          <w:tcPr>
            <w:tcW w:w="7239" w:type="dxa"/>
            <w:vAlign w:val="center"/>
          </w:tcPr>
          <w:p w:rsidR="00977923" w:rsidRPr="008F671D" w:rsidRDefault="00091777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Included as an Indicator of Performance within the 2016/17 Commissioning Plan Direction.</w:t>
            </w:r>
          </w:p>
        </w:tc>
      </w:tr>
      <w:tr w:rsidR="001668A0" w:rsidRPr="008F671D" w:rsidTr="00740E56"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1668A0" w:rsidRPr="008F671D" w:rsidRDefault="003E14FC" w:rsidP="00806A6E">
            <w:pPr>
              <w:rPr>
                <w:rFonts w:asciiTheme="minorHAnsi" w:hAnsiTheme="minorHAnsi"/>
                <w:b/>
                <w:sz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If yes, baseline point/year for the measure which is being for performance monitoring purposes</w:t>
            </w:r>
          </w:p>
        </w:tc>
        <w:tc>
          <w:tcPr>
            <w:tcW w:w="7239" w:type="dxa"/>
            <w:vAlign w:val="center"/>
          </w:tcPr>
          <w:p w:rsidR="001668A0" w:rsidRPr="008F671D" w:rsidRDefault="00091777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There is no baseline for this measure.</w:t>
            </w:r>
          </w:p>
        </w:tc>
      </w:tr>
    </w:tbl>
    <w:p w:rsidR="00BD4124" w:rsidRPr="008F671D" w:rsidRDefault="00BD4124">
      <w:pPr>
        <w:rPr>
          <w:rFonts w:asciiTheme="minorHAnsi" w:hAnsiTheme="minorHAnsi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101"/>
        <w:gridCol w:w="1181"/>
        <w:gridCol w:w="4376"/>
      </w:tblGrid>
      <w:tr w:rsidR="00BD4124" w:rsidRPr="008F671D" w:rsidTr="003E14FC">
        <w:trPr>
          <w:trHeight w:val="397"/>
        </w:trPr>
        <w:tc>
          <w:tcPr>
            <w:tcW w:w="41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8F671D" w:rsidRDefault="003E14FC" w:rsidP="00FB47D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Available groupings*</w:t>
            </w:r>
          </w:p>
        </w:tc>
        <w:tc>
          <w:tcPr>
            <w:tcW w:w="1181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Yes/No</w:t>
            </w:r>
          </w:p>
        </w:tc>
        <w:tc>
          <w:tcPr>
            <w:tcW w:w="4376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Notes</w:t>
            </w:r>
          </w:p>
        </w:tc>
      </w:tr>
      <w:tr w:rsidR="003E14FC" w:rsidRPr="008F671D" w:rsidTr="00740E56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1181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376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</w:p>
        </w:tc>
      </w:tr>
      <w:tr w:rsidR="003E14FC" w:rsidRPr="008F671D" w:rsidTr="00740E56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1181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376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</w:p>
        </w:tc>
      </w:tr>
      <w:tr w:rsidR="003E14FC" w:rsidRPr="008F671D" w:rsidTr="00740E56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1181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376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</w:p>
        </w:tc>
      </w:tr>
      <w:tr w:rsidR="003E14FC" w:rsidRPr="008F671D" w:rsidTr="00740E56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1181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376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</w:p>
        </w:tc>
      </w:tr>
      <w:tr w:rsidR="003E14FC" w:rsidRPr="008F671D" w:rsidTr="00740E56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1181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376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</w:p>
        </w:tc>
      </w:tr>
      <w:tr w:rsidR="003E14FC" w:rsidRPr="008F671D" w:rsidTr="00740E56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1181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376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</w:p>
        </w:tc>
      </w:tr>
      <w:tr w:rsidR="003E14FC" w:rsidRPr="008F671D" w:rsidTr="00740E56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1181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Not appropriate</w:t>
            </w:r>
          </w:p>
        </w:tc>
        <w:tc>
          <w:tcPr>
            <w:tcW w:w="4376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</w:p>
        </w:tc>
      </w:tr>
      <w:tr w:rsidR="003E14FC" w:rsidRPr="008F671D" w:rsidTr="00740E56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1181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376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</w:p>
        </w:tc>
      </w:tr>
      <w:tr w:rsidR="003E14FC" w:rsidRPr="008F671D" w:rsidTr="00740E56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1181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376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</w:p>
        </w:tc>
      </w:tr>
      <w:tr w:rsidR="003E14FC" w:rsidRPr="008F671D" w:rsidTr="00740E56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1181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376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</w:p>
        </w:tc>
      </w:tr>
      <w:tr w:rsidR="003E14FC" w:rsidRPr="008F671D" w:rsidTr="00740E56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1181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376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</w:p>
        </w:tc>
      </w:tr>
      <w:tr w:rsidR="003E14FC" w:rsidRPr="008F671D" w:rsidTr="00740E56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1181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376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</w:p>
        </w:tc>
      </w:tr>
      <w:tr w:rsidR="003E14FC" w:rsidRPr="008F671D" w:rsidTr="00740E56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1181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376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</w:p>
        </w:tc>
      </w:tr>
      <w:tr w:rsidR="003E14FC" w:rsidRPr="008F671D" w:rsidTr="00740E56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1181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376" w:type="dxa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</w:p>
        </w:tc>
      </w:tr>
      <w:tr w:rsidR="003E14FC" w:rsidRPr="008F671D" w:rsidTr="00740E56">
        <w:trPr>
          <w:trHeight w:val="567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3E14FC" w:rsidRPr="00345E2E" w:rsidRDefault="003E14FC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557" w:type="dxa"/>
            <w:gridSpan w:val="2"/>
            <w:vAlign w:val="center"/>
          </w:tcPr>
          <w:p w:rsidR="003E14FC" w:rsidRPr="008F671D" w:rsidRDefault="003E14FC" w:rsidP="00740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Most and least deprived quintiles</w:t>
            </w:r>
          </w:p>
        </w:tc>
      </w:tr>
    </w:tbl>
    <w:bookmarkEnd w:id="0"/>
    <w:p w:rsidR="003E14FC" w:rsidRPr="00345E2E" w:rsidRDefault="003E14FC" w:rsidP="003E14FC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p w:rsidR="00357CC1" w:rsidRPr="008F671D" w:rsidRDefault="00357CC1" w:rsidP="000200B0">
      <w:pPr>
        <w:rPr>
          <w:rFonts w:asciiTheme="minorHAnsi" w:hAnsiTheme="minorHAnsi"/>
        </w:rPr>
      </w:pPr>
    </w:p>
    <w:sectPr w:rsidR="00357CC1" w:rsidRPr="008F671D" w:rsidSect="008F671D">
      <w:headerReference w:type="default" r:id="rId9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1D" w:rsidRDefault="008F671D" w:rsidP="008F671D">
      <w:r>
        <w:separator/>
      </w:r>
    </w:p>
  </w:endnote>
  <w:endnote w:type="continuationSeparator" w:id="0">
    <w:p w:rsidR="008F671D" w:rsidRDefault="008F671D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1D" w:rsidRDefault="008F671D" w:rsidP="008F671D">
      <w:r>
        <w:separator/>
      </w:r>
    </w:p>
  </w:footnote>
  <w:footnote w:type="continuationSeparator" w:id="0">
    <w:p w:rsidR="008F671D" w:rsidRDefault="008F671D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1D" w:rsidRPr="00E14E8E" w:rsidRDefault="008F671D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E14E8E">
      <w:rPr>
        <w:rFonts w:asciiTheme="minorHAnsi" w:hAnsiTheme="minorHAnsi" w:cs="Arial"/>
        <w:b/>
        <w:color w:val="808080" w:themeColor="background1" w:themeShade="80"/>
        <w:sz w:val="28"/>
      </w:rPr>
      <w:t>20</w:t>
    </w:r>
    <w:r w:rsidR="009E5E45">
      <w:rPr>
        <w:rFonts w:asciiTheme="minorHAnsi" w:hAnsiTheme="minorHAnsi" w:cs="Arial"/>
        <w:b/>
        <w:color w:val="808080" w:themeColor="background1" w:themeShade="80"/>
        <w:sz w:val="28"/>
      </w:rPr>
      <w:t>21</w:t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9E5E45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9E5E45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9E5E45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9E5E45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9E5E45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MEASUREMENT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70EE6"/>
    <w:multiLevelType w:val="hybridMultilevel"/>
    <w:tmpl w:val="FECC84A0"/>
    <w:lvl w:ilvl="0" w:tplc="9FEA7A9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200B0"/>
    <w:rsid w:val="0006733F"/>
    <w:rsid w:val="00091777"/>
    <w:rsid w:val="000E5C99"/>
    <w:rsid w:val="001061DA"/>
    <w:rsid w:val="001668A0"/>
    <w:rsid w:val="001849F8"/>
    <w:rsid w:val="001863BB"/>
    <w:rsid w:val="001C0E43"/>
    <w:rsid w:val="001C2C68"/>
    <w:rsid w:val="001D5AED"/>
    <w:rsid w:val="001D69FA"/>
    <w:rsid w:val="002132A9"/>
    <w:rsid w:val="0021612E"/>
    <w:rsid w:val="00244E5F"/>
    <w:rsid w:val="00254DA2"/>
    <w:rsid w:val="002A64CF"/>
    <w:rsid w:val="002E0446"/>
    <w:rsid w:val="00316D9E"/>
    <w:rsid w:val="003569B0"/>
    <w:rsid w:val="00357CC1"/>
    <w:rsid w:val="00372264"/>
    <w:rsid w:val="00397F49"/>
    <w:rsid w:val="003E14FC"/>
    <w:rsid w:val="003E6FDF"/>
    <w:rsid w:val="003F74DA"/>
    <w:rsid w:val="00427450"/>
    <w:rsid w:val="00442EE5"/>
    <w:rsid w:val="00454680"/>
    <w:rsid w:val="00464DC7"/>
    <w:rsid w:val="004E4383"/>
    <w:rsid w:val="005143A7"/>
    <w:rsid w:val="00564ADD"/>
    <w:rsid w:val="0058283D"/>
    <w:rsid w:val="005A028E"/>
    <w:rsid w:val="005C403E"/>
    <w:rsid w:val="005C79AD"/>
    <w:rsid w:val="00652A1F"/>
    <w:rsid w:val="006B0988"/>
    <w:rsid w:val="006D6E49"/>
    <w:rsid w:val="00735E57"/>
    <w:rsid w:val="00740E56"/>
    <w:rsid w:val="00770017"/>
    <w:rsid w:val="007D0190"/>
    <w:rsid w:val="007F6780"/>
    <w:rsid w:val="00806A6E"/>
    <w:rsid w:val="00856353"/>
    <w:rsid w:val="008B6781"/>
    <w:rsid w:val="008F671D"/>
    <w:rsid w:val="009373F2"/>
    <w:rsid w:val="00977923"/>
    <w:rsid w:val="009E5E45"/>
    <w:rsid w:val="00A20F2B"/>
    <w:rsid w:val="00A35364"/>
    <w:rsid w:val="00A47CEE"/>
    <w:rsid w:val="00A535C2"/>
    <w:rsid w:val="00AA6EA3"/>
    <w:rsid w:val="00AE6B78"/>
    <w:rsid w:val="00B6370C"/>
    <w:rsid w:val="00BD4124"/>
    <w:rsid w:val="00C05D5A"/>
    <w:rsid w:val="00C76BEB"/>
    <w:rsid w:val="00C865E5"/>
    <w:rsid w:val="00D74701"/>
    <w:rsid w:val="00E14E8E"/>
    <w:rsid w:val="00EE6088"/>
    <w:rsid w:val="00EF2DD6"/>
    <w:rsid w:val="00F81E8B"/>
    <w:rsid w:val="00F8760F"/>
    <w:rsid w:val="00FB47D0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C914B41-CCAC-447E-A9A9-76EA8299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-ni.gov.uk/articles/regional-health-inequalities-statist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76CC8-D02E-41B5-9A4F-A79F6E46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Niall O'Neill</dc:creator>
  <cp:lastModifiedBy>Ruth Hewitt</cp:lastModifiedBy>
  <cp:revision>3</cp:revision>
  <cp:lastPrinted>2016-04-11T13:16:00Z</cp:lastPrinted>
  <dcterms:created xsi:type="dcterms:W3CDTF">2017-12-14T10:30:00Z</dcterms:created>
  <dcterms:modified xsi:type="dcterms:W3CDTF">2017-12-14T10:43:00Z</dcterms:modified>
</cp:coreProperties>
</file>