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907690" w:rsidRPr="00907690" w:rsidTr="00BE5E48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7690" w:rsidRPr="00907690" w:rsidRDefault="00907690" w:rsidP="00A501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Indicator:</w:t>
            </w:r>
          </w:p>
        </w:tc>
        <w:tc>
          <w:tcPr>
            <w:tcW w:w="7371" w:type="dxa"/>
            <w:vAlign w:val="center"/>
          </w:tcPr>
          <w:p w:rsidR="00907690" w:rsidRPr="004D28B6" w:rsidRDefault="000C5737" w:rsidP="009076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5737">
              <w:rPr>
                <w:rFonts w:asciiTheme="minorHAnsi" w:hAnsiTheme="minorHAnsi" w:cs="Arial"/>
                <w:b/>
                <w:sz w:val="20"/>
                <w:szCs w:val="20"/>
              </w:rPr>
              <w:t>Average time taken to complete criminal cases</w:t>
            </w:r>
          </w:p>
        </w:tc>
      </w:tr>
    </w:tbl>
    <w:p w:rsidR="00FB47D0" w:rsidRPr="00907690" w:rsidRDefault="00FB47D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907690" w:rsidRPr="00907690" w:rsidTr="00BE5E4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1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Gayle Kennedy, Department of Justice</w:t>
            </w:r>
          </w:p>
        </w:tc>
      </w:tr>
      <w:tr w:rsidR="00907690" w:rsidRPr="00907690" w:rsidTr="00BE5E4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1" w:type="dxa"/>
            <w:vAlign w:val="center"/>
          </w:tcPr>
          <w:p w:rsidR="00907690" w:rsidRPr="00907690" w:rsidRDefault="00DB3BE6" w:rsidP="00907690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B262C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https://www.justice-ni.gov.uk/articles/prosecutions-and-convictions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907690" w:rsidRPr="00907690" w:rsidTr="00BE5E4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907690" w:rsidRPr="00907690" w:rsidTr="00BE5E4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1" w:type="dxa"/>
            <w:vAlign w:val="center"/>
          </w:tcPr>
          <w:p w:rsidR="00907690" w:rsidRPr="00907690" w:rsidRDefault="000C5737" w:rsidP="009076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3 - 6</w:t>
            </w:r>
            <w:r w:rsidR="00907690" w:rsidRPr="00907690">
              <w:rPr>
                <w:rFonts w:asciiTheme="minorHAnsi" w:hAnsiTheme="minorHAnsi"/>
                <w:sz w:val="20"/>
                <w:szCs w:val="20"/>
              </w:rPr>
              <w:t xml:space="preserve"> months</w:t>
            </w:r>
          </w:p>
        </w:tc>
      </w:tr>
      <w:tr w:rsidR="00907690" w:rsidRPr="00907690" w:rsidTr="00BE5E4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1" w:type="dxa"/>
            <w:vAlign w:val="center"/>
          </w:tcPr>
          <w:p w:rsidR="00907690" w:rsidRPr="00907690" w:rsidRDefault="00907690" w:rsidP="000C5737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Administrative Data</w:t>
            </w:r>
            <w:r w:rsidR="000C5737">
              <w:rPr>
                <w:rFonts w:asciiTheme="minorHAnsi" w:hAnsiTheme="minorHAnsi"/>
                <w:sz w:val="20"/>
                <w:szCs w:val="20"/>
              </w:rPr>
              <w:t>.</w:t>
            </w:r>
            <w:r w:rsidR="000C5737">
              <w:t xml:space="preserve"> </w:t>
            </w:r>
            <w:r w:rsidR="000C5737" w:rsidRPr="000C5737">
              <w:rPr>
                <w:rFonts w:asciiTheme="minorHAnsi" w:hAnsiTheme="minorHAnsi"/>
                <w:sz w:val="20"/>
                <w:szCs w:val="20"/>
              </w:rPr>
              <w:t>Source for the data is the D</w:t>
            </w:r>
            <w:r w:rsidR="000C5737">
              <w:rPr>
                <w:rFonts w:asciiTheme="minorHAnsi" w:hAnsiTheme="minorHAnsi"/>
                <w:sz w:val="20"/>
                <w:szCs w:val="20"/>
              </w:rPr>
              <w:t>o</w:t>
            </w:r>
            <w:r w:rsidR="000C5737" w:rsidRPr="000C5737">
              <w:rPr>
                <w:rFonts w:asciiTheme="minorHAnsi" w:hAnsiTheme="minorHAnsi"/>
                <w:sz w:val="20"/>
                <w:szCs w:val="20"/>
              </w:rPr>
              <w:t>J Causeway Management Information System.  Causeway is a data sharing mechanism that has improved the performance and enhanced the interconnection of the Northern Ireland criminal justice organisations by the e-sharing of common information through end to end technical and business processes.</w:t>
            </w:r>
          </w:p>
        </w:tc>
      </w:tr>
      <w:tr w:rsidR="00907690" w:rsidRPr="00907690" w:rsidTr="00BE5E4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371" w:type="dxa"/>
            <w:vAlign w:val="center"/>
          </w:tcPr>
          <w:p w:rsidR="00907690" w:rsidRPr="00907690" w:rsidRDefault="00BE6AC3" w:rsidP="009076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907690" w:rsidRPr="00907690" w:rsidTr="00BE5E4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1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Quality reports contained within methodology section of each publication.</w:t>
            </w:r>
          </w:p>
        </w:tc>
      </w:tr>
      <w:tr w:rsidR="00907690" w:rsidRPr="00907690" w:rsidTr="00BE5E4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1" w:type="dxa"/>
            <w:vAlign w:val="center"/>
          </w:tcPr>
          <w:p w:rsidR="00907690" w:rsidRPr="00907690" w:rsidRDefault="00907690" w:rsidP="000C5737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201</w:t>
            </w:r>
            <w:r w:rsidR="000C5737">
              <w:rPr>
                <w:rFonts w:asciiTheme="minorHAnsi" w:hAnsiTheme="minorHAnsi"/>
                <w:sz w:val="20"/>
                <w:szCs w:val="20"/>
              </w:rPr>
              <w:t>1</w:t>
            </w:r>
            <w:r w:rsidRPr="00907690">
              <w:rPr>
                <w:rFonts w:asciiTheme="minorHAnsi" w:hAnsiTheme="minorHAnsi"/>
                <w:sz w:val="20"/>
                <w:szCs w:val="20"/>
              </w:rPr>
              <w:t>/1</w:t>
            </w:r>
            <w:r w:rsidR="000C573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0C5737" w:rsidRPr="00907690" w:rsidTr="00156C30">
        <w:trPr>
          <w:trHeight w:val="470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0C5737" w:rsidRPr="00345E2E" w:rsidRDefault="000C5737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0C5737" w:rsidRPr="00345E2E" w:rsidRDefault="000C5737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C5737" w:rsidRPr="00345E2E" w:rsidRDefault="000C5737" w:rsidP="005F43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0C5737" w:rsidRDefault="000C5737" w:rsidP="003B7D5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Average</w:t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1</w:t>
            </w:r>
            <w:r>
              <w:rPr>
                <w:rFonts w:asciiTheme="minorHAnsi" w:hAnsiTheme="minorHAnsi"/>
                <w:b/>
                <w:sz w:val="20"/>
              </w:rPr>
              <w:t xml:space="preserve"> time taken to complete criminal cases (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median number of days taken)</w:t>
            </w:r>
          </w:p>
          <w:p w:rsidR="000C5737" w:rsidRDefault="000C5737" w:rsidP="003B7D52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7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"/>
              <w:gridCol w:w="1012"/>
              <w:gridCol w:w="1012"/>
              <w:gridCol w:w="1012"/>
              <w:gridCol w:w="1037"/>
              <w:gridCol w:w="1034"/>
              <w:gridCol w:w="1026"/>
            </w:tblGrid>
            <w:tr w:rsidR="000C5737" w:rsidTr="000C5737">
              <w:trPr>
                <w:trHeight w:val="365"/>
              </w:trPr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2011/12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2012/13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2013/14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2014/15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2015/16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F743F6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/1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2017/18</w:t>
                  </w:r>
                </w:p>
              </w:tc>
            </w:tr>
            <w:tr w:rsidR="000C5737" w:rsidTr="000C5737">
              <w:trPr>
                <w:trHeight w:val="365"/>
              </w:trPr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737" w:rsidRPr="00F743F6" w:rsidRDefault="000C5737" w:rsidP="000C5737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F743F6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</w:tr>
          </w:tbl>
          <w:p w:rsidR="000C5737" w:rsidRDefault="000C5737" w:rsidP="003B7D5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C5737" w:rsidRDefault="000C5737" w:rsidP="003B7D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Figures supplied are the Median time taken, from Offence Reported Date to Courts Disposal Date. The Median is the value below which 50 per cent of cases were completed.</w:t>
            </w:r>
          </w:p>
          <w:p w:rsidR="000C5737" w:rsidRDefault="000C5737" w:rsidP="003B7D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Figures relate to the number of calendar days from Offence Reported Date to Courts Disposal Date.  Court recess dates are not taken into account.</w:t>
            </w:r>
          </w:p>
          <w:p w:rsidR="000C5737" w:rsidRDefault="000C5737" w:rsidP="003B7D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Figures relate to cases disposed at court during the time period specified. Each period is a financial year, running from 1st April to the following 31st March.</w:t>
            </w:r>
          </w:p>
          <w:p w:rsidR="000C5737" w:rsidRDefault="000C5737" w:rsidP="003B7D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Figures relate to cases brought on behalf of the PSNI, Harbour and Airport police in Northern Ireland that resulted in a court disposal.  </w:t>
            </w:r>
          </w:p>
          <w:p w:rsidR="000C5737" w:rsidRDefault="000C5737" w:rsidP="003B7D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Figures do not include cases where the case was dismissed but a caution was administered, fixed penalty registrations, penalty notices for disorder or cases resulting from a breach of a court order.</w:t>
            </w:r>
            <w:r>
              <w:t xml:space="preserve"> </w:t>
            </w:r>
            <w:r w:rsidRPr="007D6139">
              <w:rPr>
                <w:rFonts w:asciiTheme="minorHAnsi" w:hAnsiTheme="minorHAnsi"/>
                <w:sz w:val="20"/>
                <w:szCs w:val="20"/>
              </w:rPr>
              <w:t>Successful youth engagement cases were also excluded.</w:t>
            </w:r>
          </w:p>
        </w:tc>
      </w:tr>
      <w:tr w:rsidR="000C5737" w:rsidRPr="00907690" w:rsidTr="00BE5E48">
        <w:trPr>
          <w:trHeight w:val="6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0C5737" w:rsidRPr="00345E2E" w:rsidRDefault="000C5737" w:rsidP="005F430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0C5737" w:rsidRPr="00345E2E" w:rsidRDefault="000C5737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371" w:type="dxa"/>
            <w:vAlign w:val="center"/>
          </w:tcPr>
          <w:p w:rsidR="000C5737" w:rsidRPr="00907690" w:rsidRDefault="000C5737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0C5737" w:rsidRPr="00907690" w:rsidTr="00BE5E48">
        <w:trPr>
          <w:trHeight w:val="12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0C5737" w:rsidRPr="00345E2E" w:rsidRDefault="000C5737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</w:t>
            </w:r>
            <w:proofErr w:type="spellStart"/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371" w:type="dxa"/>
            <w:vAlign w:val="center"/>
          </w:tcPr>
          <w:p w:rsidR="000C5737" w:rsidRPr="000C5737" w:rsidRDefault="000C5737" w:rsidP="000C57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5737">
              <w:rPr>
                <w:rFonts w:asciiTheme="minorHAnsi" w:hAnsiTheme="minorHAnsi" w:cs="Arial"/>
                <w:sz w:val="20"/>
                <w:szCs w:val="20"/>
              </w:rPr>
              <w:t>UK:</w:t>
            </w:r>
          </w:p>
          <w:p w:rsidR="000C5737" w:rsidRPr="000C5737" w:rsidRDefault="000C5737" w:rsidP="000C57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5737">
              <w:rPr>
                <w:rFonts w:asciiTheme="minorHAnsi" w:hAnsiTheme="minorHAnsi" w:cs="Arial"/>
                <w:sz w:val="20"/>
                <w:szCs w:val="20"/>
              </w:rPr>
              <w:t xml:space="preserve">UK Regional: Nothing directly comparable is published.  </w:t>
            </w:r>
          </w:p>
          <w:p w:rsidR="000C5737" w:rsidRPr="000C5737" w:rsidRDefault="000C5737" w:rsidP="000C5737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C5737">
              <w:rPr>
                <w:rFonts w:asciiTheme="minorHAnsi" w:hAnsiTheme="minorHAnsi" w:cs="Arial"/>
                <w:sz w:val="20"/>
                <w:szCs w:val="20"/>
              </w:rPr>
              <w:t>RoI</w:t>
            </w:r>
            <w:proofErr w:type="spellEnd"/>
            <w:r w:rsidRPr="000C5737">
              <w:rPr>
                <w:rFonts w:asciiTheme="minorHAnsi" w:hAnsiTheme="minorHAnsi" w:cs="Arial"/>
                <w:sz w:val="20"/>
                <w:szCs w:val="20"/>
              </w:rPr>
              <w:t>: No</w:t>
            </w:r>
          </w:p>
          <w:p w:rsidR="000C5737" w:rsidRPr="00907690" w:rsidRDefault="000C5737" w:rsidP="000C57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5737">
              <w:rPr>
                <w:rFonts w:asciiTheme="minorHAnsi" w:hAnsiTheme="minorHAnsi" w:cs="Arial"/>
                <w:sz w:val="20"/>
                <w:szCs w:val="20"/>
              </w:rPr>
              <w:t>International (please specify countries): Not known</w:t>
            </w:r>
          </w:p>
        </w:tc>
      </w:tr>
      <w:tr w:rsidR="000C5737" w:rsidRPr="00907690" w:rsidTr="0067408C">
        <w:trPr>
          <w:trHeight w:val="49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0C5737" w:rsidRPr="00345E2E" w:rsidRDefault="000C5737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371" w:type="dxa"/>
            <w:vAlign w:val="center"/>
          </w:tcPr>
          <w:p w:rsidR="000C5737" w:rsidRPr="00907690" w:rsidRDefault="000C5737" w:rsidP="009076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907690">
              <w:rPr>
                <w:rFonts w:asciiTheme="minorHAnsi" w:hAnsiTheme="minorHAnsi" w:cs="Arial"/>
                <w:sz w:val="20"/>
                <w:szCs w:val="20"/>
              </w:rPr>
              <w:t xml:space="preserve">While every care has been taken in collating the data, they are subject to the limitations inherent in any large-scale recording system and to variation in recording practice over time. </w:t>
            </w:r>
          </w:p>
          <w:p w:rsidR="000C5737" w:rsidRPr="00907690" w:rsidRDefault="000C5737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C5737" w:rsidRPr="00907690" w:rsidRDefault="000C5737" w:rsidP="00907690">
            <w:pPr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</w:rPr>
            </w:pPr>
            <w:r w:rsidRPr="000C5737">
              <w:rPr>
                <w:rFonts w:asciiTheme="minorHAnsi" w:hAnsiTheme="minorHAnsi" w:cs="Arial"/>
                <w:sz w:val="20"/>
                <w:szCs w:val="20"/>
              </w:rPr>
              <w:t xml:space="preserve">The measure is based on all criminal cases which complete all parts of judicial process, </w:t>
            </w:r>
            <w:proofErr w:type="spellStart"/>
            <w:r w:rsidRPr="000C5737">
              <w:rPr>
                <w:rFonts w:asciiTheme="minorHAnsi" w:hAnsiTheme="minorHAnsi" w:cs="Arial"/>
                <w:sz w:val="20"/>
                <w:szCs w:val="20"/>
              </w:rPr>
              <w:t>ie</w:t>
            </w:r>
            <w:proofErr w:type="spellEnd"/>
            <w:r w:rsidRPr="000C5737">
              <w:rPr>
                <w:rFonts w:asciiTheme="minorHAnsi" w:hAnsiTheme="minorHAnsi" w:cs="Arial"/>
                <w:sz w:val="20"/>
                <w:szCs w:val="20"/>
              </w:rPr>
              <w:t>, those which are resolved at court within the specified period.  Figures do not include cases where the case was dismissed but a caution was administered, fixed penalty registrations, penalty notices for disorder or cases resulting from a breach of a court order. Successful youth engagement cases were also excluded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0C5737" w:rsidRPr="00907690" w:rsidTr="00BE5E4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0C5737" w:rsidRPr="00907690" w:rsidRDefault="000C5737" w:rsidP="009076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371" w:type="dxa"/>
            <w:vAlign w:val="center"/>
          </w:tcPr>
          <w:p w:rsidR="000C5737" w:rsidRPr="00907690" w:rsidRDefault="000C5737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</w:tr>
      <w:tr w:rsidR="000C5737" w:rsidRPr="00907690" w:rsidTr="00BE5E48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0C5737" w:rsidRPr="00907690" w:rsidRDefault="000C5737" w:rsidP="009076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 xml:space="preserve">If yes, please specify any particular baseline point/year for the measure which is being for performance </w:t>
            </w:r>
            <w:r w:rsidRPr="0090769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monitoring purposes</w:t>
            </w:r>
          </w:p>
        </w:tc>
        <w:tc>
          <w:tcPr>
            <w:tcW w:w="7371" w:type="dxa"/>
            <w:vAlign w:val="center"/>
          </w:tcPr>
          <w:p w:rsidR="000C5737" w:rsidRPr="00907690" w:rsidRDefault="000C5737" w:rsidP="00F32A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201</w:t>
            </w:r>
            <w:r w:rsidR="00F32A88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/1</w:t>
            </w:r>
            <w:r w:rsidR="00F32A8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BD4124" w:rsidRPr="00907690" w:rsidRDefault="00BD41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907690" w:rsidTr="00907690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907690" w:rsidRDefault="00907690" w:rsidP="009076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907690" w:rsidRDefault="00BD4124" w:rsidP="009076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907690" w:rsidRDefault="00BD4124" w:rsidP="009076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D248C1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F32A88">
        <w:trPr>
          <w:trHeight w:val="453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907690" w:rsidRPr="00907690" w:rsidRDefault="000C5737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0C5737">
              <w:rPr>
                <w:rFonts w:asciiTheme="minorHAnsi" w:hAnsiTheme="minorHAnsi"/>
                <w:sz w:val="20"/>
                <w:szCs w:val="20"/>
              </w:rPr>
              <w:t>Youth cases measured separately from adult ones</w:t>
            </w:r>
            <w:r w:rsidR="00F32A88">
              <w:rPr>
                <w:rFonts w:asciiTheme="minorHAnsi" w:hAnsiTheme="minorHAnsi"/>
                <w:sz w:val="20"/>
                <w:szCs w:val="20"/>
              </w:rPr>
              <w:t xml:space="preserve"> in relation to magistrates’ courts</w:t>
            </w:r>
            <w:r w:rsidRPr="000C573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90769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345E2E" w:rsidRDefault="00907690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  <w:r w:rsidRPr="0090769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7690" w:rsidRPr="00907690" w:rsidRDefault="00907690" w:rsidP="00907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690" w:rsidRPr="00907690" w:rsidTr="00907690">
        <w:trPr>
          <w:trHeight w:val="56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7690" w:rsidRPr="004C2627" w:rsidRDefault="00907690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907690" w:rsidRPr="00907690" w:rsidRDefault="000C5737" w:rsidP="009076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Northern Ireland.</w:t>
            </w:r>
          </w:p>
        </w:tc>
      </w:tr>
    </w:tbl>
    <w:bookmarkEnd w:id="0"/>
    <w:p w:rsidR="00357CC1" w:rsidRPr="00907690" w:rsidRDefault="00907690" w:rsidP="000200B0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sectPr w:rsidR="00357CC1" w:rsidRPr="00907690" w:rsidSect="008F67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C3" w:rsidRDefault="00461FC3" w:rsidP="008F671D">
      <w:r>
        <w:separator/>
      </w:r>
    </w:p>
  </w:endnote>
  <w:endnote w:type="continuationSeparator" w:id="0">
    <w:p w:rsidR="00461FC3" w:rsidRDefault="00461FC3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25" w:rsidRDefault="00085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25" w:rsidRDefault="00085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25" w:rsidRDefault="00085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C3" w:rsidRDefault="00461FC3" w:rsidP="008F671D">
      <w:r>
        <w:separator/>
      </w:r>
    </w:p>
  </w:footnote>
  <w:footnote w:type="continuationSeparator" w:id="0">
    <w:p w:rsidR="00461FC3" w:rsidRDefault="00461FC3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25" w:rsidRDefault="00085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1D" w:rsidRPr="00E14E8E" w:rsidRDefault="008F671D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E14E8E">
      <w:rPr>
        <w:rFonts w:asciiTheme="minorHAnsi" w:hAnsiTheme="minorHAnsi" w:cs="Arial"/>
        <w:b/>
        <w:color w:val="808080" w:themeColor="background1" w:themeShade="80"/>
        <w:sz w:val="28"/>
      </w:rPr>
      <w:t>20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>2</w:t>
    </w:r>
    <w:r w:rsidR="00085625">
      <w:rPr>
        <w:rFonts w:asciiTheme="minorHAnsi" w:hAnsiTheme="minorHAnsi" w:cs="Arial"/>
        <w:b/>
        <w:color w:val="808080" w:themeColor="background1" w:themeShade="80"/>
        <w:sz w:val="28"/>
      </w:rPr>
      <w:t>1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907690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907690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907690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907690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907690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25" w:rsidRDefault="00085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4673A"/>
    <w:multiLevelType w:val="hybridMultilevel"/>
    <w:tmpl w:val="D950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0"/>
    <w:rsid w:val="000200B0"/>
    <w:rsid w:val="000366F3"/>
    <w:rsid w:val="00040DC7"/>
    <w:rsid w:val="0005066C"/>
    <w:rsid w:val="000567D4"/>
    <w:rsid w:val="000739CF"/>
    <w:rsid w:val="00085625"/>
    <w:rsid w:val="000B7C49"/>
    <w:rsid w:val="000C1E6D"/>
    <w:rsid w:val="000C5737"/>
    <w:rsid w:val="000F3EE7"/>
    <w:rsid w:val="00146610"/>
    <w:rsid w:val="001668A0"/>
    <w:rsid w:val="00181A53"/>
    <w:rsid w:val="001849F8"/>
    <w:rsid w:val="001863BB"/>
    <w:rsid w:val="00196A7C"/>
    <w:rsid w:val="001A7C4B"/>
    <w:rsid w:val="001B6978"/>
    <w:rsid w:val="001C2C68"/>
    <w:rsid w:val="001D69FA"/>
    <w:rsid w:val="00201E59"/>
    <w:rsid w:val="0022078A"/>
    <w:rsid w:val="00224809"/>
    <w:rsid w:val="00235E3A"/>
    <w:rsid w:val="00254DA2"/>
    <w:rsid w:val="002C004C"/>
    <w:rsid w:val="00316D9E"/>
    <w:rsid w:val="003359C3"/>
    <w:rsid w:val="003470CE"/>
    <w:rsid w:val="003561D8"/>
    <w:rsid w:val="00357289"/>
    <w:rsid w:val="00357CC1"/>
    <w:rsid w:val="00372264"/>
    <w:rsid w:val="00374A9B"/>
    <w:rsid w:val="00397F49"/>
    <w:rsid w:val="003B2435"/>
    <w:rsid w:val="003E6FDF"/>
    <w:rsid w:val="003F74DA"/>
    <w:rsid w:val="0044239E"/>
    <w:rsid w:val="00445246"/>
    <w:rsid w:val="00454E60"/>
    <w:rsid w:val="0045534F"/>
    <w:rsid w:val="00461FC3"/>
    <w:rsid w:val="004A220C"/>
    <w:rsid w:val="004D28B6"/>
    <w:rsid w:val="004D734C"/>
    <w:rsid w:val="004F0C46"/>
    <w:rsid w:val="005064ED"/>
    <w:rsid w:val="00590A9B"/>
    <w:rsid w:val="005C361C"/>
    <w:rsid w:val="005C79AD"/>
    <w:rsid w:val="005E2D0C"/>
    <w:rsid w:val="00607F5E"/>
    <w:rsid w:val="006567F4"/>
    <w:rsid w:val="00673A89"/>
    <w:rsid w:val="0067408C"/>
    <w:rsid w:val="006A6F0F"/>
    <w:rsid w:val="006B0988"/>
    <w:rsid w:val="006D6E49"/>
    <w:rsid w:val="00735E57"/>
    <w:rsid w:val="007637C1"/>
    <w:rsid w:val="00770017"/>
    <w:rsid w:val="007763F1"/>
    <w:rsid w:val="007776FB"/>
    <w:rsid w:val="007A17AE"/>
    <w:rsid w:val="007D0190"/>
    <w:rsid w:val="007D5F35"/>
    <w:rsid w:val="007E423C"/>
    <w:rsid w:val="00806A6E"/>
    <w:rsid w:val="0085076C"/>
    <w:rsid w:val="008757F6"/>
    <w:rsid w:val="00881BD7"/>
    <w:rsid w:val="008B6781"/>
    <w:rsid w:val="008D3291"/>
    <w:rsid w:val="008F0850"/>
    <w:rsid w:val="008F671D"/>
    <w:rsid w:val="00907690"/>
    <w:rsid w:val="009373F2"/>
    <w:rsid w:val="00967A41"/>
    <w:rsid w:val="00967E16"/>
    <w:rsid w:val="00977923"/>
    <w:rsid w:val="00A4083A"/>
    <w:rsid w:val="00A50178"/>
    <w:rsid w:val="00A51CC3"/>
    <w:rsid w:val="00A535C2"/>
    <w:rsid w:val="00AA1225"/>
    <w:rsid w:val="00AD17E7"/>
    <w:rsid w:val="00AE6B78"/>
    <w:rsid w:val="00B6370C"/>
    <w:rsid w:val="00B676AC"/>
    <w:rsid w:val="00BD4124"/>
    <w:rsid w:val="00BE5E48"/>
    <w:rsid w:val="00BE6AC3"/>
    <w:rsid w:val="00CA3739"/>
    <w:rsid w:val="00CD24D4"/>
    <w:rsid w:val="00D248C1"/>
    <w:rsid w:val="00DB3BE6"/>
    <w:rsid w:val="00DE5ACB"/>
    <w:rsid w:val="00E069F8"/>
    <w:rsid w:val="00E14E8E"/>
    <w:rsid w:val="00EF2DD6"/>
    <w:rsid w:val="00F32A88"/>
    <w:rsid w:val="00F437E9"/>
    <w:rsid w:val="00F81E8B"/>
    <w:rsid w:val="00FB47D0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C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4A9B"/>
    <w:rPr>
      <w:color w:val="800080" w:themeColor="followedHyperlink"/>
      <w:u w:val="single"/>
    </w:rPr>
  </w:style>
  <w:style w:type="paragraph" w:customStyle="1" w:styleId="Default">
    <w:name w:val="Default"/>
    <w:rsid w:val="00454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C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4A9B"/>
    <w:rPr>
      <w:color w:val="800080" w:themeColor="followedHyperlink"/>
      <w:u w:val="single"/>
    </w:rPr>
  </w:style>
  <w:style w:type="paragraph" w:customStyle="1" w:styleId="Default">
    <w:name w:val="Default"/>
    <w:rsid w:val="00454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ustice-ni.gov.uk/articles/prosecutions-and-convic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6FA44-C2A5-4049-A9B5-C75881A3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Administrator</cp:lastModifiedBy>
  <cp:revision>5</cp:revision>
  <cp:lastPrinted>2016-04-11T13:16:00Z</cp:lastPrinted>
  <dcterms:created xsi:type="dcterms:W3CDTF">2017-11-14T14:32:00Z</dcterms:created>
  <dcterms:modified xsi:type="dcterms:W3CDTF">2018-09-27T10:06:00Z</dcterms:modified>
</cp:coreProperties>
</file>