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772" w:type="dxa"/>
        <w:tblLook w:val="04A0" w:firstRow="1" w:lastRow="0" w:firstColumn="1" w:lastColumn="0" w:noHBand="0" w:noVBand="1"/>
      </w:tblPr>
      <w:tblGrid>
        <w:gridCol w:w="3227"/>
        <w:gridCol w:w="7545"/>
      </w:tblGrid>
      <w:tr w:rsidR="00DF0AD4" w:rsidTr="00DF0AD4">
        <w:trPr>
          <w:trHeight w:val="39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bookmarkStart w:id="0" w:name="OLE_LINK1"/>
            <w:r>
              <w:rPr>
                <w:rFonts w:asciiTheme="minorHAnsi" w:hAnsiTheme="minorHAnsi"/>
                <w:b/>
                <w:sz w:val="20"/>
                <w:szCs w:val="20"/>
              </w:rPr>
              <w:t>Indicator:</w:t>
            </w:r>
          </w:p>
        </w:tc>
        <w:tc>
          <w:tcPr>
            <w:tcW w:w="7545"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Average time taken to complete criminal cases</w:t>
            </w:r>
          </w:p>
        </w:tc>
      </w:tr>
    </w:tbl>
    <w:p w:rsidR="00DF0AD4" w:rsidRDefault="00DF0AD4" w:rsidP="00F743F6">
      <w:pPr>
        <w:spacing w:after="0"/>
        <w:rPr>
          <w:rFonts w:asciiTheme="minorHAnsi" w:hAnsiTheme="minorHAnsi"/>
          <w:sz w:val="20"/>
          <w:szCs w:val="20"/>
        </w:rPr>
      </w:pPr>
      <w:bookmarkStart w:id="1" w:name="_GoBack"/>
      <w:bookmarkEnd w:id="1"/>
    </w:p>
    <w:tbl>
      <w:tblPr>
        <w:tblStyle w:val="TableGrid"/>
        <w:tblW w:w="10598" w:type="dxa"/>
        <w:tblLook w:val="04A0" w:firstRow="1" w:lastRow="0" w:firstColumn="1" w:lastColumn="0" w:noHBand="0" w:noVBand="1"/>
      </w:tblPr>
      <w:tblGrid>
        <w:gridCol w:w="3227"/>
        <w:gridCol w:w="7371"/>
      </w:tblGrid>
      <w:tr w:rsidR="00DF0AD4" w:rsidTr="00DF0AD4">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 xml:space="preserve">Responsible Statistician: </w:t>
            </w:r>
          </w:p>
        </w:tc>
        <w:tc>
          <w:tcPr>
            <w:tcW w:w="7371"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Gayle Kennedy, Department of Justice</w:t>
            </w:r>
          </w:p>
        </w:tc>
      </w:tr>
      <w:tr w:rsidR="00DF0AD4" w:rsidTr="00DF0AD4">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Web Link to Statistical Publication:</w:t>
            </w:r>
          </w:p>
        </w:tc>
        <w:tc>
          <w:tcPr>
            <w:tcW w:w="7371"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Not yet published</w:t>
            </w:r>
          </w:p>
        </w:tc>
      </w:tr>
      <w:tr w:rsidR="00DF0AD4" w:rsidTr="00DF0AD4">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Frequency of update:</w:t>
            </w:r>
          </w:p>
        </w:tc>
        <w:tc>
          <w:tcPr>
            <w:tcW w:w="7371"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 xml:space="preserve"> Annual. It is planned that these data will be published as part of a statistical bulletin (currently under development) in early autumn 2017 and then updated annually, within 6 months of the end of the relevant time period.</w:t>
            </w:r>
          </w:p>
        </w:tc>
      </w:tr>
      <w:tr w:rsidR="00DF0AD4" w:rsidTr="00DF0AD4">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Time lag:</w:t>
            </w:r>
          </w:p>
        </w:tc>
        <w:tc>
          <w:tcPr>
            <w:tcW w:w="7371"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To be determined, potentially 3 – 6 months</w:t>
            </w:r>
          </w:p>
        </w:tc>
      </w:tr>
      <w:tr w:rsidR="00DF0AD4" w:rsidTr="00DF0AD4">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Data Source:</w:t>
            </w:r>
          </w:p>
        </w:tc>
        <w:tc>
          <w:tcPr>
            <w:tcW w:w="7371"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 xml:space="preserve">Administrative. Source for the data is the DOJ Causeway Management Information System.  Causeway is a data sharing mechanism that has improved the performance and enhanced the interconnection of the Northern Ireland criminal justice organisations by the e-sharing of common information through end to end technical and business processes. </w:t>
            </w:r>
          </w:p>
        </w:tc>
      </w:tr>
      <w:tr w:rsidR="00DF0AD4" w:rsidTr="00DF0AD4">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National Statistics Status</w:t>
            </w:r>
          </w:p>
        </w:tc>
        <w:tc>
          <w:tcPr>
            <w:tcW w:w="7371"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N/A</w:t>
            </w:r>
          </w:p>
        </w:tc>
      </w:tr>
      <w:tr w:rsidR="00DF0AD4" w:rsidTr="00DF0AD4">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Quality Report:</w:t>
            </w:r>
          </w:p>
        </w:tc>
        <w:tc>
          <w:tcPr>
            <w:tcW w:w="7371"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None at present</w:t>
            </w:r>
          </w:p>
        </w:tc>
      </w:tr>
      <w:tr w:rsidR="00DF0AD4" w:rsidTr="00DF0AD4">
        <w:trPr>
          <w:trHeight w:val="2779"/>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Historic Data available from:</w:t>
            </w:r>
          </w:p>
        </w:tc>
        <w:tc>
          <w:tcPr>
            <w:tcW w:w="7371" w:type="dxa"/>
            <w:tcBorders>
              <w:top w:val="single" w:sz="4" w:space="0" w:color="auto"/>
              <w:left w:val="single" w:sz="4" w:space="0" w:color="auto"/>
              <w:bottom w:val="single" w:sz="4" w:space="0" w:color="auto"/>
              <w:right w:val="single" w:sz="4" w:space="0" w:color="auto"/>
            </w:tcBorders>
            <w:vAlign w:val="center"/>
          </w:tcPr>
          <w:p w:rsidR="00DF0AD4" w:rsidRDefault="00DF0AD4">
            <w:pPr>
              <w:rPr>
                <w:rFonts w:asciiTheme="minorHAnsi" w:hAnsiTheme="minorHAnsi"/>
                <w:b/>
                <w:sz w:val="20"/>
              </w:rPr>
            </w:pPr>
            <w:r>
              <w:rPr>
                <w:rFonts w:asciiTheme="minorHAnsi" w:hAnsiTheme="minorHAnsi"/>
                <w:b/>
                <w:sz w:val="20"/>
              </w:rPr>
              <w:t>Average</w:t>
            </w:r>
            <w:r>
              <w:rPr>
                <w:rFonts w:asciiTheme="minorHAnsi" w:hAnsiTheme="minorHAnsi"/>
                <w:b/>
                <w:sz w:val="20"/>
                <w:vertAlign w:val="superscript"/>
              </w:rPr>
              <w:t>1</w:t>
            </w:r>
            <w:r>
              <w:rPr>
                <w:rFonts w:asciiTheme="minorHAnsi" w:hAnsiTheme="minorHAnsi"/>
                <w:b/>
                <w:sz w:val="20"/>
              </w:rPr>
              <w:t xml:space="preserve"> time taken to complete criminal cases (</w:t>
            </w:r>
            <w:r>
              <w:rPr>
                <w:rFonts w:asciiTheme="minorHAnsi" w:hAnsiTheme="minorHAnsi" w:cs="Arial"/>
                <w:b/>
                <w:bCs/>
                <w:color w:val="000000"/>
                <w:sz w:val="20"/>
                <w:szCs w:val="20"/>
              </w:rPr>
              <w:t>median number of days taken)</w:t>
            </w:r>
          </w:p>
          <w:p w:rsidR="00DF0AD4" w:rsidRDefault="00DF0AD4">
            <w:pPr>
              <w:rPr>
                <w:rFonts w:asciiTheme="minorHAnsi" w:hAnsiTheme="minorHAnsi"/>
                <w:sz w:val="20"/>
                <w:szCs w:val="20"/>
              </w:rPr>
            </w:pPr>
          </w:p>
          <w:tbl>
            <w:tblPr>
              <w:tblW w:w="5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12"/>
              <w:gridCol w:w="1012"/>
              <w:gridCol w:w="1012"/>
              <w:gridCol w:w="1012"/>
              <w:gridCol w:w="1037"/>
            </w:tblGrid>
            <w:tr w:rsidR="00DF0AD4">
              <w:trPr>
                <w:trHeight w:val="365"/>
              </w:trPr>
              <w:tc>
                <w:tcPr>
                  <w:tcW w:w="1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0AD4" w:rsidRPr="00F743F6" w:rsidRDefault="00DF0AD4">
                  <w:pPr>
                    <w:jc w:val="center"/>
                    <w:rPr>
                      <w:rFonts w:asciiTheme="minorHAnsi" w:hAnsiTheme="minorHAnsi" w:cs="Arial"/>
                      <w:b/>
                      <w:bCs/>
                      <w:color w:val="000000"/>
                      <w:sz w:val="20"/>
                      <w:szCs w:val="20"/>
                    </w:rPr>
                  </w:pPr>
                  <w:r w:rsidRPr="00F743F6">
                    <w:rPr>
                      <w:rFonts w:asciiTheme="minorHAnsi" w:hAnsiTheme="minorHAnsi" w:cs="Arial"/>
                      <w:b/>
                      <w:bCs/>
                      <w:color w:val="000000"/>
                      <w:sz w:val="20"/>
                      <w:szCs w:val="20"/>
                    </w:rPr>
                    <w:t>2011/12</w:t>
                  </w:r>
                </w:p>
              </w:tc>
              <w:tc>
                <w:tcPr>
                  <w:tcW w:w="1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0AD4" w:rsidRPr="00F743F6" w:rsidRDefault="00DF0AD4">
                  <w:pPr>
                    <w:jc w:val="center"/>
                    <w:rPr>
                      <w:rFonts w:asciiTheme="minorHAnsi" w:hAnsiTheme="minorHAnsi" w:cs="Arial"/>
                      <w:b/>
                      <w:bCs/>
                      <w:color w:val="000000"/>
                      <w:sz w:val="20"/>
                      <w:szCs w:val="20"/>
                    </w:rPr>
                  </w:pPr>
                  <w:r w:rsidRPr="00F743F6">
                    <w:rPr>
                      <w:rFonts w:asciiTheme="minorHAnsi" w:hAnsiTheme="minorHAnsi" w:cs="Arial"/>
                      <w:b/>
                      <w:bCs/>
                      <w:color w:val="000000"/>
                      <w:sz w:val="20"/>
                      <w:szCs w:val="20"/>
                    </w:rPr>
                    <w:t>2012/13</w:t>
                  </w:r>
                </w:p>
              </w:tc>
              <w:tc>
                <w:tcPr>
                  <w:tcW w:w="1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0AD4" w:rsidRPr="00F743F6" w:rsidRDefault="00DF0AD4">
                  <w:pPr>
                    <w:jc w:val="center"/>
                    <w:rPr>
                      <w:rFonts w:asciiTheme="minorHAnsi" w:hAnsiTheme="minorHAnsi" w:cs="Arial"/>
                      <w:b/>
                      <w:bCs/>
                      <w:color w:val="000000"/>
                      <w:sz w:val="20"/>
                      <w:szCs w:val="20"/>
                    </w:rPr>
                  </w:pPr>
                  <w:r w:rsidRPr="00F743F6">
                    <w:rPr>
                      <w:rFonts w:asciiTheme="minorHAnsi" w:hAnsiTheme="minorHAnsi" w:cs="Arial"/>
                      <w:b/>
                      <w:bCs/>
                      <w:color w:val="000000"/>
                      <w:sz w:val="20"/>
                      <w:szCs w:val="20"/>
                    </w:rPr>
                    <w:t>2013/14</w:t>
                  </w:r>
                </w:p>
              </w:tc>
              <w:tc>
                <w:tcPr>
                  <w:tcW w:w="101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0AD4" w:rsidRPr="00F743F6" w:rsidRDefault="00DF0AD4">
                  <w:pPr>
                    <w:jc w:val="center"/>
                    <w:rPr>
                      <w:rFonts w:asciiTheme="minorHAnsi" w:hAnsiTheme="minorHAnsi" w:cs="Arial"/>
                      <w:b/>
                      <w:bCs/>
                      <w:color w:val="000000"/>
                      <w:sz w:val="20"/>
                      <w:szCs w:val="20"/>
                    </w:rPr>
                  </w:pPr>
                  <w:r w:rsidRPr="00F743F6">
                    <w:rPr>
                      <w:rFonts w:asciiTheme="minorHAnsi" w:hAnsiTheme="minorHAnsi" w:cs="Arial"/>
                      <w:b/>
                      <w:bCs/>
                      <w:color w:val="000000"/>
                      <w:sz w:val="20"/>
                      <w:szCs w:val="20"/>
                    </w:rPr>
                    <w:t>2014/15</w:t>
                  </w:r>
                </w:p>
              </w:tc>
              <w:tc>
                <w:tcPr>
                  <w:tcW w:w="10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F0AD4" w:rsidRPr="00F743F6" w:rsidRDefault="00DF0AD4">
                  <w:pPr>
                    <w:jc w:val="center"/>
                    <w:rPr>
                      <w:rFonts w:asciiTheme="minorHAnsi" w:hAnsiTheme="minorHAnsi" w:cs="Arial"/>
                      <w:b/>
                      <w:bCs/>
                      <w:color w:val="000000"/>
                      <w:sz w:val="20"/>
                      <w:szCs w:val="20"/>
                    </w:rPr>
                  </w:pPr>
                  <w:r w:rsidRPr="00F743F6">
                    <w:rPr>
                      <w:rFonts w:asciiTheme="minorHAnsi" w:hAnsiTheme="minorHAnsi" w:cs="Arial"/>
                      <w:b/>
                      <w:bCs/>
                      <w:color w:val="000000"/>
                      <w:sz w:val="20"/>
                      <w:szCs w:val="20"/>
                    </w:rPr>
                    <w:t>2015/16</w:t>
                  </w:r>
                </w:p>
              </w:tc>
            </w:tr>
            <w:tr w:rsidR="00DF0AD4">
              <w:trPr>
                <w:trHeight w:val="365"/>
              </w:trPr>
              <w:tc>
                <w:tcPr>
                  <w:tcW w:w="10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F0AD4" w:rsidRPr="00F743F6" w:rsidRDefault="002648E4">
                  <w:pPr>
                    <w:jc w:val="right"/>
                    <w:rPr>
                      <w:rFonts w:asciiTheme="minorHAnsi" w:hAnsiTheme="minorHAnsi" w:cs="Arial"/>
                      <w:bCs/>
                      <w:color w:val="000000"/>
                      <w:sz w:val="20"/>
                      <w:szCs w:val="20"/>
                    </w:rPr>
                  </w:pPr>
                  <w:r w:rsidRPr="00F743F6">
                    <w:rPr>
                      <w:rFonts w:asciiTheme="minorHAnsi" w:hAnsiTheme="minorHAnsi" w:cs="Arial"/>
                      <w:bCs/>
                      <w:color w:val="000000"/>
                      <w:sz w:val="20"/>
                      <w:szCs w:val="20"/>
                    </w:rPr>
                    <w:t>162</w:t>
                  </w:r>
                  <w:r w:rsidR="00DF0AD4" w:rsidRPr="00F743F6">
                    <w:rPr>
                      <w:rFonts w:asciiTheme="minorHAnsi" w:hAnsiTheme="minorHAnsi" w:cs="Arial"/>
                      <w:bCs/>
                      <w:color w:val="000000"/>
                      <w:sz w:val="20"/>
                      <w:szCs w:val="20"/>
                    </w:rPr>
                    <w:t xml:space="preserve"> </w:t>
                  </w:r>
                </w:p>
              </w:tc>
              <w:tc>
                <w:tcPr>
                  <w:tcW w:w="10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F0AD4" w:rsidRPr="00F743F6" w:rsidRDefault="002648E4">
                  <w:pPr>
                    <w:jc w:val="right"/>
                    <w:rPr>
                      <w:rFonts w:asciiTheme="minorHAnsi" w:hAnsiTheme="minorHAnsi" w:cs="Arial"/>
                      <w:bCs/>
                      <w:color w:val="000000"/>
                      <w:sz w:val="20"/>
                      <w:szCs w:val="20"/>
                    </w:rPr>
                  </w:pPr>
                  <w:r w:rsidRPr="00F743F6">
                    <w:rPr>
                      <w:rFonts w:asciiTheme="minorHAnsi" w:hAnsiTheme="minorHAnsi" w:cs="Arial"/>
                      <w:bCs/>
                      <w:color w:val="000000"/>
                      <w:sz w:val="20"/>
                      <w:szCs w:val="20"/>
                    </w:rPr>
                    <w:t>159</w:t>
                  </w:r>
                  <w:r w:rsidR="00DF0AD4" w:rsidRPr="00F743F6">
                    <w:rPr>
                      <w:rFonts w:asciiTheme="minorHAnsi" w:hAnsiTheme="minorHAnsi" w:cs="Arial"/>
                      <w:bCs/>
                      <w:color w:val="000000"/>
                      <w:sz w:val="20"/>
                      <w:szCs w:val="20"/>
                    </w:rPr>
                    <w:t xml:space="preserve"> </w:t>
                  </w:r>
                </w:p>
              </w:tc>
              <w:tc>
                <w:tcPr>
                  <w:tcW w:w="10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F0AD4" w:rsidRPr="00F743F6" w:rsidRDefault="002648E4">
                  <w:pPr>
                    <w:jc w:val="right"/>
                    <w:rPr>
                      <w:rFonts w:asciiTheme="minorHAnsi" w:hAnsiTheme="minorHAnsi" w:cs="Arial"/>
                      <w:bCs/>
                      <w:color w:val="000000"/>
                      <w:sz w:val="20"/>
                      <w:szCs w:val="20"/>
                    </w:rPr>
                  </w:pPr>
                  <w:r w:rsidRPr="00F743F6">
                    <w:rPr>
                      <w:rFonts w:asciiTheme="minorHAnsi" w:hAnsiTheme="minorHAnsi" w:cs="Arial"/>
                      <w:bCs/>
                      <w:color w:val="000000"/>
                      <w:sz w:val="20"/>
                      <w:szCs w:val="20"/>
                    </w:rPr>
                    <w:t>143</w:t>
                  </w:r>
                  <w:r w:rsidR="00DF0AD4" w:rsidRPr="00F743F6">
                    <w:rPr>
                      <w:rFonts w:asciiTheme="minorHAnsi" w:hAnsiTheme="minorHAnsi" w:cs="Arial"/>
                      <w:bCs/>
                      <w:color w:val="000000"/>
                      <w:sz w:val="20"/>
                      <w:szCs w:val="20"/>
                    </w:rPr>
                    <w:t xml:space="preserve"> </w:t>
                  </w:r>
                </w:p>
              </w:tc>
              <w:tc>
                <w:tcPr>
                  <w:tcW w:w="101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F0AD4" w:rsidRPr="00F743F6" w:rsidRDefault="002648E4">
                  <w:pPr>
                    <w:jc w:val="right"/>
                    <w:rPr>
                      <w:rFonts w:asciiTheme="minorHAnsi" w:hAnsiTheme="minorHAnsi" w:cs="Arial"/>
                      <w:bCs/>
                      <w:color w:val="000000"/>
                      <w:sz w:val="20"/>
                      <w:szCs w:val="20"/>
                    </w:rPr>
                  </w:pPr>
                  <w:r w:rsidRPr="00F743F6">
                    <w:rPr>
                      <w:rFonts w:asciiTheme="minorHAnsi" w:hAnsiTheme="minorHAnsi" w:cs="Arial"/>
                      <w:bCs/>
                      <w:color w:val="000000"/>
                      <w:sz w:val="20"/>
                      <w:szCs w:val="20"/>
                    </w:rPr>
                    <w:t>143</w:t>
                  </w:r>
                  <w:r w:rsidR="00DF0AD4" w:rsidRPr="00F743F6">
                    <w:rPr>
                      <w:rFonts w:asciiTheme="minorHAnsi" w:hAnsiTheme="minorHAnsi" w:cs="Arial"/>
                      <w:bCs/>
                      <w:color w:val="000000"/>
                      <w:sz w:val="20"/>
                      <w:szCs w:val="20"/>
                    </w:rPr>
                    <w:t xml:space="preserve"> </w:t>
                  </w:r>
                </w:p>
              </w:tc>
              <w:tc>
                <w:tcPr>
                  <w:tcW w:w="103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DF0AD4" w:rsidRPr="00F743F6" w:rsidRDefault="002648E4">
                  <w:pPr>
                    <w:jc w:val="right"/>
                    <w:rPr>
                      <w:rFonts w:asciiTheme="minorHAnsi" w:hAnsiTheme="minorHAnsi" w:cs="Arial"/>
                      <w:bCs/>
                      <w:color w:val="000000"/>
                      <w:sz w:val="20"/>
                      <w:szCs w:val="20"/>
                    </w:rPr>
                  </w:pPr>
                  <w:r w:rsidRPr="00F743F6">
                    <w:rPr>
                      <w:rFonts w:asciiTheme="minorHAnsi" w:hAnsiTheme="minorHAnsi" w:cs="Arial"/>
                      <w:bCs/>
                      <w:color w:val="000000"/>
                      <w:sz w:val="20"/>
                      <w:szCs w:val="20"/>
                    </w:rPr>
                    <w:t>146</w:t>
                  </w:r>
                  <w:r w:rsidR="00DF0AD4" w:rsidRPr="00F743F6">
                    <w:rPr>
                      <w:rFonts w:asciiTheme="minorHAnsi" w:hAnsiTheme="minorHAnsi" w:cs="Arial"/>
                      <w:bCs/>
                      <w:color w:val="000000"/>
                      <w:sz w:val="20"/>
                      <w:szCs w:val="20"/>
                    </w:rPr>
                    <w:t xml:space="preserve"> </w:t>
                  </w:r>
                </w:p>
              </w:tc>
            </w:tr>
          </w:tbl>
          <w:p w:rsidR="00DF0AD4" w:rsidRDefault="00DF0AD4">
            <w:pPr>
              <w:rPr>
                <w:rFonts w:asciiTheme="minorHAnsi" w:hAnsiTheme="minorHAnsi"/>
                <w:sz w:val="20"/>
                <w:szCs w:val="20"/>
              </w:rPr>
            </w:pPr>
          </w:p>
          <w:p w:rsidR="00DF0AD4" w:rsidRDefault="00DF0AD4">
            <w:pPr>
              <w:rPr>
                <w:rFonts w:asciiTheme="minorHAnsi" w:hAnsiTheme="minorHAnsi"/>
                <w:sz w:val="20"/>
                <w:szCs w:val="20"/>
              </w:rPr>
            </w:pPr>
            <w:r>
              <w:rPr>
                <w:rFonts w:asciiTheme="minorHAnsi" w:hAnsiTheme="minorHAnsi"/>
                <w:sz w:val="20"/>
                <w:szCs w:val="20"/>
              </w:rPr>
              <w:t>1 Figures supplied are the Median time taken, from Offence Reported Date to Courts Disposal Date. The Median is the value below which 50 per cent of cases were completed.</w:t>
            </w:r>
          </w:p>
          <w:p w:rsidR="00DF0AD4" w:rsidRDefault="00DF0AD4">
            <w:pPr>
              <w:rPr>
                <w:rFonts w:asciiTheme="minorHAnsi" w:hAnsiTheme="minorHAnsi"/>
                <w:sz w:val="20"/>
                <w:szCs w:val="20"/>
              </w:rPr>
            </w:pPr>
            <w:r>
              <w:rPr>
                <w:rFonts w:asciiTheme="minorHAnsi" w:hAnsiTheme="minorHAnsi"/>
                <w:sz w:val="20"/>
                <w:szCs w:val="20"/>
              </w:rPr>
              <w:t>2. Figures relate to the number of calendar days from Offence Reported Date to Courts Disposal Date.  Court recess dates are not taken into account.</w:t>
            </w:r>
          </w:p>
          <w:p w:rsidR="00DF0AD4" w:rsidRDefault="00DF0AD4">
            <w:pPr>
              <w:rPr>
                <w:rFonts w:asciiTheme="minorHAnsi" w:hAnsiTheme="minorHAnsi"/>
                <w:sz w:val="20"/>
                <w:szCs w:val="20"/>
              </w:rPr>
            </w:pPr>
            <w:r>
              <w:rPr>
                <w:rFonts w:asciiTheme="minorHAnsi" w:hAnsiTheme="minorHAnsi"/>
                <w:sz w:val="20"/>
                <w:szCs w:val="20"/>
              </w:rPr>
              <w:t>3. Figures relate to cases disposed at court during the time period specified. Each period is a financial year, running from 1st April to the following 31st March.</w:t>
            </w:r>
          </w:p>
          <w:p w:rsidR="00DF0AD4" w:rsidRDefault="00DF0AD4">
            <w:pPr>
              <w:rPr>
                <w:rFonts w:asciiTheme="minorHAnsi" w:hAnsiTheme="minorHAnsi"/>
                <w:sz w:val="20"/>
                <w:szCs w:val="20"/>
              </w:rPr>
            </w:pPr>
            <w:r>
              <w:rPr>
                <w:rFonts w:asciiTheme="minorHAnsi" w:hAnsiTheme="minorHAnsi"/>
                <w:sz w:val="20"/>
                <w:szCs w:val="20"/>
              </w:rPr>
              <w:t xml:space="preserve">4. Figures relate to cases brought on behalf of the PSNI, Harbour and Airport police in Northern Ireland that resulted in a court disposal.  </w:t>
            </w:r>
          </w:p>
          <w:p w:rsidR="00DF0AD4" w:rsidRDefault="00DF0AD4" w:rsidP="00F743F6">
            <w:pPr>
              <w:rPr>
                <w:rFonts w:asciiTheme="minorHAnsi" w:hAnsiTheme="minorHAnsi" w:cs="Times New Roman"/>
                <w:sz w:val="20"/>
                <w:szCs w:val="20"/>
              </w:rPr>
            </w:pPr>
            <w:r>
              <w:rPr>
                <w:rFonts w:asciiTheme="minorHAnsi" w:hAnsiTheme="minorHAnsi"/>
                <w:sz w:val="20"/>
                <w:szCs w:val="20"/>
              </w:rPr>
              <w:t>5. Figures do not include cases where the case was dismissed but a caution was administered, fixed penalty registrations, penalty notices for disorder or cases resulting from a breach of a court order.</w:t>
            </w:r>
            <w:r w:rsidR="007D6139">
              <w:t xml:space="preserve"> </w:t>
            </w:r>
            <w:r w:rsidR="007D6139" w:rsidRPr="007D6139">
              <w:rPr>
                <w:rFonts w:asciiTheme="minorHAnsi" w:hAnsiTheme="minorHAnsi"/>
                <w:sz w:val="20"/>
                <w:szCs w:val="20"/>
              </w:rPr>
              <w:t>Successful youth engagement cases were also excluded.</w:t>
            </w:r>
          </w:p>
        </w:tc>
      </w:tr>
      <w:tr w:rsidR="00DF0AD4" w:rsidTr="00F743F6">
        <w:trPr>
          <w:trHeight w:val="748"/>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b/>
                <w:sz w:val="20"/>
                <w:szCs w:val="20"/>
                <w:u w:val="single"/>
              </w:rPr>
            </w:pPr>
            <w:r>
              <w:rPr>
                <w:rFonts w:asciiTheme="minorHAnsi" w:hAnsiTheme="minorHAnsi"/>
                <w:b/>
                <w:sz w:val="20"/>
                <w:szCs w:val="20"/>
                <w:u w:val="single"/>
              </w:rPr>
              <w:t xml:space="preserve">For Survey Data </w:t>
            </w:r>
          </w:p>
          <w:p w:rsidR="00DF0AD4" w:rsidRDefault="00DF0AD4">
            <w:pPr>
              <w:rPr>
                <w:rFonts w:asciiTheme="minorHAnsi" w:hAnsiTheme="minorHAnsi" w:cs="Times New Roman"/>
                <w:b/>
                <w:sz w:val="20"/>
                <w:szCs w:val="20"/>
              </w:rPr>
            </w:pPr>
            <w:r>
              <w:rPr>
                <w:rFonts w:asciiTheme="minorHAnsi" w:hAnsiTheme="minorHAnsi"/>
                <w:b/>
                <w:sz w:val="20"/>
                <w:szCs w:val="20"/>
              </w:rPr>
              <w:t>Sample size and confidence interval for the latest available year:</w:t>
            </w:r>
          </w:p>
        </w:tc>
        <w:tc>
          <w:tcPr>
            <w:tcW w:w="7371"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sz w:val="20"/>
                <w:szCs w:val="20"/>
              </w:rPr>
            </w:pPr>
            <w:r>
              <w:rPr>
                <w:rFonts w:asciiTheme="minorHAnsi" w:hAnsiTheme="minorHAnsi"/>
                <w:sz w:val="20"/>
                <w:szCs w:val="20"/>
              </w:rPr>
              <w:t xml:space="preserve">Sample size: </w:t>
            </w:r>
          </w:p>
          <w:p w:rsidR="00DF0AD4" w:rsidRDefault="00DF0AD4">
            <w:pPr>
              <w:rPr>
                <w:rFonts w:asciiTheme="minorHAnsi" w:hAnsiTheme="minorHAnsi" w:cs="Times New Roman"/>
                <w:sz w:val="20"/>
                <w:szCs w:val="20"/>
              </w:rPr>
            </w:pPr>
            <w:r>
              <w:rPr>
                <w:rFonts w:asciiTheme="minorHAnsi" w:hAnsiTheme="minorHAnsi"/>
                <w:sz w:val="20"/>
                <w:szCs w:val="20"/>
              </w:rPr>
              <w:t>Confidence interval:</w:t>
            </w:r>
          </w:p>
        </w:tc>
      </w:tr>
      <w:tr w:rsidR="00DF0AD4" w:rsidTr="00F743F6">
        <w:trPr>
          <w:trHeight w:val="999"/>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UK/</w:t>
            </w:r>
            <w:proofErr w:type="spellStart"/>
            <w:r>
              <w:rPr>
                <w:rFonts w:asciiTheme="minorHAnsi" w:hAnsiTheme="minorHAnsi"/>
                <w:b/>
                <w:sz w:val="20"/>
                <w:szCs w:val="20"/>
              </w:rPr>
              <w:t>RoI</w:t>
            </w:r>
            <w:proofErr w:type="spellEnd"/>
            <w:r>
              <w:rPr>
                <w:rFonts w:asciiTheme="minorHAnsi" w:hAnsiTheme="minorHAnsi"/>
                <w:b/>
                <w:sz w:val="20"/>
                <w:szCs w:val="20"/>
              </w:rPr>
              <w:t>/International comparisons:</w:t>
            </w:r>
          </w:p>
        </w:tc>
        <w:tc>
          <w:tcPr>
            <w:tcW w:w="7371"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sz w:val="20"/>
                <w:szCs w:val="20"/>
              </w:rPr>
            </w:pPr>
            <w:r>
              <w:rPr>
                <w:rFonts w:asciiTheme="minorHAnsi" w:hAnsiTheme="minorHAnsi"/>
                <w:sz w:val="20"/>
                <w:szCs w:val="20"/>
              </w:rPr>
              <w:t>UK:</w:t>
            </w:r>
          </w:p>
          <w:p w:rsidR="00DF0AD4" w:rsidRDefault="00DF0AD4">
            <w:pPr>
              <w:rPr>
                <w:rFonts w:asciiTheme="minorHAnsi" w:hAnsiTheme="minorHAnsi"/>
                <w:sz w:val="20"/>
                <w:szCs w:val="20"/>
              </w:rPr>
            </w:pPr>
            <w:r>
              <w:rPr>
                <w:rFonts w:asciiTheme="minorHAnsi" w:hAnsiTheme="minorHAnsi"/>
                <w:sz w:val="20"/>
                <w:szCs w:val="20"/>
              </w:rPr>
              <w:t xml:space="preserve">UK Regional: Nothing directly comparable is published.  </w:t>
            </w:r>
          </w:p>
          <w:p w:rsidR="00DF0AD4" w:rsidRDefault="00DF0AD4">
            <w:pPr>
              <w:rPr>
                <w:rFonts w:asciiTheme="minorHAnsi" w:hAnsiTheme="minorHAnsi"/>
                <w:sz w:val="20"/>
                <w:szCs w:val="20"/>
              </w:rPr>
            </w:pPr>
            <w:proofErr w:type="spellStart"/>
            <w:r>
              <w:rPr>
                <w:rFonts w:asciiTheme="minorHAnsi" w:hAnsiTheme="minorHAnsi"/>
                <w:sz w:val="20"/>
                <w:szCs w:val="20"/>
              </w:rPr>
              <w:t>RoI</w:t>
            </w:r>
            <w:proofErr w:type="spellEnd"/>
            <w:r>
              <w:rPr>
                <w:rFonts w:asciiTheme="minorHAnsi" w:hAnsiTheme="minorHAnsi"/>
                <w:sz w:val="20"/>
                <w:szCs w:val="20"/>
              </w:rPr>
              <w:t>: No</w:t>
            </w:r>
          </w:p>
          <w:p w:rsidR="00DF0AD4" w:rsidRDefault="00DF0AD4">
            <w:pPr>
              <w:rPr>
                <w:rFonts w:asciiTheme="minorHAnsi" w:hAnsiTheme="minorHAnsi" w:cs="Times New Roman"/>
                <w:sz w:val="20"/>
                <w:szCs w:val="20"/>
              </w:rPr>
            </w:pPr>
            <w:r>
              <w:rPr>
                <w:rFonts w:asciiTheme="minorHAnsi" w:hAnsiTheme="minorHAnsi"/>
                <w:sz w:val="20"/>
                <w:szCs w:val="20"/>
              </w:rPr>
              <w:t>International (please specify countries): Not known</w:t>
            </w:r>
          </w:p>
        </w:tc>
      </w:tr>
      <w:tr w:rsidR="00DF0AD4" w:rsidTr="00DF0AD4">
        <w:trPr>
          <w:trHeight w:val="1417"/>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 xml:space="preserve">Issues in relation to this data, e.g. data limitations, future data availability, changes to methodology </w:t>
            </w:r>
          </w:p>
        </w:tc>
        <w:tc>
          <w:tcPr>
            <w:tcW w:w="7371" w:type="dxa"/>
            <w:tcBorders>
              <w:top w:val="single" w:sz="4" w:space="0" w:color="auto"/>
              <w:left w:val="single" w:sz="4" w:space="0" w:color="auto"/>
              <w:bottom w:val="single" w:sz="4" w:space="0" w:color="auto"/>
              <w:right w:val="single" w:sz="4" w:space="0" w:color="auto"/>
            </w:tcBorders>
            <w:vAlign w:val="center"/>
          </w:tcPr>
          <w:p w:rsidR="00DF0AD4" w:rsidRDefault="00DF0AD4">
            <w:pPr>
              <w:rPr>
                <w:rFonts w:asciiTheme="minorHAnsi" w:hAnsiTheme="minorHAnsi"/>
                <w:sz w:val="20"/>
                <w:szCs w:val="20"/>
              </w:rPr>
            </w:pPr>
            <w:r>
              <w:rPr>
                <w:rFonts w:asciiTheme="minorHAnsi" w:hAnsiTheme="minorHAnsi"/>
                <w:sz w:val="20"/>
                <w:szCs w:val="20"/>
              </w:rPr>
              <w:t xml:space="preserve">The measure is based on all criminal cases which complete all parts of judicial process, </w:t>
            </w:r>
            <w:proofErr w:type="spellStart"/>
            <w:r>
              <w:rPr>
                <w:rFonts w:asciiTheme="minorHAnsi" w:hAnsiTheme="minorHAnsi"/>
                <w:sz w:val="20"/>
                <w:szCs w:val="20"/>
              </w:rPr>
              <w:t>ie</w:t>
            </w:r>
            <w:proofErr w:type="spellEnd"/>
            <w:r>
              <w:rPr>
                <w:rFonts w:asciiTheme="minorHAnsi" w:hAnsiTheme="minorHAnsi"/>
                <w:sz w:val="20"/>
                <w:szCs w:val="20"/>
              </w:rPr>
              <w:t xml:space="preserve">, those which are resolved at court within the specified period.  </w:t>
            </w:r>
          </w:p>
          <w:p w:rsidR="00DF0AD4" w:rsidRDefault="00DF0AD4">
            <w:pPr>
              <w:rPr>
                <w:rFonts w:asciiTheme="minorHAnsi" w:hAnsiTheme="minorHAnsi"/>
                <w:sz w:val="20"/>
                <w:szCs w:val="20"/>
              </w:rPr>
            </w:pPr>
          </w:p>
          <w:p w:rsidR="00DF0AD4" w:rsidRDefault="00DF0AD4">
            <w:pPr>
              <w:rPr>
                <w:rFonts w:asciiTheme="minorHAnsi" w:hAnsiTheme="minorHAnsi"/>
                <w:bCs/>
                <w:sz w:val="20"/>
                <w:szCs w:val="20"/>
              </w:rPr>
            </w:pPr>
            <w:r>
              <w:rPr>
                <w:rFonts w:asciiTheme="minorHAnsi" w:hAnsiTheme="minorHAnsi"/>
                <w:bCs/>
                <w:sz w:val="20"/>
                <w:szCs w:val="20"/>
              </w:rPr>
              <w:t>The Department of Justice aims to introduce Statutory Time Limits (STLs) for criminal cases.  In the meantime, guideline time limits are being developed to enable more transparent reporting in the shorter term.</w:t>
            </w:r>
          </w:p>
          <w:p w:rsidR="00DF0AD4" w:rsidRDefault="00DF0AD4">
            <w:pPr>
              <w:rPr>
                <w:rFonts w:asciiTheme="minorHAnsi" w:hAnsiTheme="minorHAnsi"/>
                <w:bCs/>
                <w:sz w:val="20"/>
                <w:szCs w:val="20"/>
              </w:rPr>
            </w:pPr>
          </w:p>
          <w:p w:rsidR="00DF0AD4" w:rsidRDefault="00DF0AD4">
            <w:pPr>
              <w:rPr>
                <w:rFonts w:asciiTheme="minorHAnsi" w:hAnsiTheme="minorHAnsi" w:cs="Times New Roman"/>
                <w:sz w:val="20"/>
                <w:szCs w:val="20"/>
              </w:rPr>
            </w:pPr>
            <w:r>
              <w:rPr>
                <w:rFonts w:asciiTheme="minorHAnsi" w:hAnsiTheme="minorHAnsi"/>
                <w:sz w:val="20"/>
                <w:szCs w:val="20"/>
              </w:rPr>
              <w:t xml:space="preserve">The Criteria for change are still under review.  </w:t>
            </w:r>
          </w:p>
        </w:tc>
      </w:tr>
      <w:tr w:rsidR="00DF0AD4" w:rsidTr="00DF0AD4">
        <w:trPr>
          <w:trHeight w:val="340"/>
        </w:trPr>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Is this measure being used to monitor performance against your current/latest Departmental/ Agency Plan</w:t>
            </w:r>
          </w:p>
        </w:tc>
        <w:tc>
          <w:tcPr>
            <w:tcW w:w="7371"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No</w:t>
            </w:r>
          </w:p>
        </w:tc>
      </w:tr>
      <w:tr w:rsidR="00DF0AD4" w:rsidTr="00DF0AD4">
        <w:tc>
          <w:tcPr>
            <w:tcW w:w="32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If yes, please specify any particular baseline point/year for the measure which is being for performance monitoring purposes</w:t>
            </w:r>
          </w:p>
        </w:tc>
        <w:tc>
          <w:tcPr>
            <w:tcW w:w="7371"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N/A</w:t>
            </w:r>
          </w:p>
        </w:tc>
      </w:tr>
    </w:tbl>
    <w:p w:rsidR="00DF0AD4" w:rsidRDefault="00DF0AD4" w:rsidP="00DF0AD4">
      <w:pPr>
        <w:rPr>
          <w:rFonts w:asciiTheme="minorHAnsi" w:hAnsiTheme="minorHAnsi"/>
          <w:sz w:val="20"/>
          <w:szCs w:val="20"/>
        </w:rPr>
      </w:pPr>
    </w:p>
    <w:tbl>
      <w:tblPr>
        <w:tblStyle w:val="TableGrid"/>
        <w:tblW w:w="9658" w:type="dxa"/>
        <w:tblLook w:val="04A0" w:firstRow="1" w:lastRow="0" w:firstColumn="1" w:lastColumn="0" w:noHBand="0" w:noVBand="1"/>
      </w:tblPr>
      <w:tblGrid>
        <w:gridCol w:w="4219"/>
        <w:gridCol w:w="903"/>
        <w:gridCol w:w="4536"/>
      </w:tblGrid>
      <w:tr w:rsidR="00DF0AD4" w:rsidTr="00DF0AD4">
        <w:trPr>
          <w:trHeight w:val="397"/>
        </w:trPr>
        <w:tc>
          <w:tcPr>
            <w:tcW w:w="4219" w:type="dxa"/>
            <w:tcBorders>
              <w:top w:val="nil"/>
              <w:left w:val="nil"/>
              <w:bottom w:val="single" w:sz="4" w:space="0" w:color="auto"/>
              <w:right w:val="single" w:sz="4" w:space="0" w:color="auto"/>
            </w:tcBorders>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Available groupings*</w:t>
            </w:r>
          </w:p>
        </w:tc>
        <w:tc>
          <w:tcPr>
            <w:tcW w:w="903"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Yes/No</w:t>
            </w:r>
          </w:p>
        </w:tc>
        <w:tc>
          <w:tcPr>
            <w:tcW w:w="4536"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Notes</w:t>
            </w:r>
          </w:p>
        </w:tc>
      </w:tr>
      <w:tr w:rsidR="00DF0AD4" w:rsidTr="00DF0AD4">
        <w:trPr>
          <w:trHeight w:val="340"/>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 xml:space="preserve"> NI Level</w:t>
            </w:r>
          </w:p>
        </w:tc>
        <w:tc>
          <w:tcPr>
            <w:tcW w:w="903"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Yes</w:t>
            </w:r>
          </w:p>
        </w:tc>
        <w:tc>
          <w:tcPr>
            <w:tcW w:w="4536" w:type="dxa"/>
            <w:tcBorders>
              <w:top w:val="single" w:sz="4" w:space="0" w:color="auto"/>
              <w:left w:val="single" w:sz="4" w:space="0" w:color="auto"/>
              <w:bottom w:val="single" w:sz="4" w:space="0" w:color="auto"/>
              <w:right w:val="single" w:sz="4" w:space="0" w:color="auto"/>
            </w:tcBorders>
            <w:vAlign w:val="center"/>
          </w:tcPr>
          <w:p w:rsidR="00DF0AD4" w:rsidRDefault="00DF0AD4">
            <w:pPr>
              <w:rPr>
                <w:rFonts w:asciiTheme="minorHAnsi" w:hAnsiTheme="minorHAnsi" w:cs="Times New Roman"/>
                <w:sz w:val="20"/>
                <w:szCs w:val="20"/>
              </w:rPr>
            </w:pPr>
          </w:p>
        </w:tc>
      </w:tr>
      <w:tr w:rsidR="00DF0AD4" w:rsidTr="00DF0AD4">
        <w:trPr>
          <w:trHeight w:val="340"/>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Parliamentary Constituency level</w:t>
            </w:r>
          </w:p>
        </w:tc>
        <w:tc>
          <w:tcPr>
            <w:tcW w:w="903"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No</w:t>
            </w:r>
          </w:p>
        </w:tc>
        <w:tc>
          <w:tcPr>
            <w:tcW w:w="4536" w:type="dxa"/>
            <w:tcBorders>
              <w:top w:val="single" w:sz="4" w:space="0" w:color="auto"/>
              <w:left w:val="single" w:sz="4" w:space="0" w:color="auto"/>
              <w:bottom w:val="single" w:sz="4" w:space="0" w:color="auto"/>
              <w:right w:val="single" w:sz="4" w:space="0" w:color="auto"/>
            </w:tcBorders>
            <w:vAlign w:val="center"/>
          </w:tcPr>
          <w:p w:rsidR="00DF0AD4" w:rsidRDefault="00DF0AD4">
            <w:pPr>
              <w:rPr>
                <w:rFonts w:asciiTheme="minorHAnsi" w:hAnsiTheme="minorHAnsi" w:cs="Times New Roman"/>
                <w:sz w:val="20"/>
                <w:szCs w:val="20"/>
              </w:rPr>
            </w:pPr>
          </w:p>
        </w:tc>
      </w:tr>
      <w:tr w:rsidR="00DF0AD4" w:rsidTr="00DF0AD4">
        <w:trPr>
          <w:trHeight w:val="340"/>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Local Government District (2014) level</w:t>
            </w:r>
          </w:p>
        </w:tc>
        <w:tc>
          <w:tcPr>
            <w:tcW w:w="903"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No</w:t>
            </w:r>
          </w:p>
        </w:tc>
        <w:tc>
          <w:tcPr>
            <w:tcW w:w="4536" w:type="dxa"/>
            <w:tcBorders>
              <w:top w:val="single" w:sz="4" w:space="0" w:color="auto"/>
              <w:left w:val="single" w:sz="4" w:space="0" w:color="auto"/>
              <w:bottom w:val="single" w:sz="4" w:space="0" w:color="auto"/>
              <w:right w:val="single" w:sz="4" w:space="0" w:color="auto"/>
            </w:tcBorders>
            <w:vAlign w:val="center"/>
          </w:tcPr>
          <w:p w:rsidR="00DF0AD4" w:rsidRDefault="00DF0AD4">
            <w:pPr>
              <w:rPr>
                <w:rFonts w:asciiTheme="minorHAnsi" w:hAnsiTheme="minorHAnsi" w:cs="Times New Roman"/>
                <w:sz w:val="20"/>
                <w:szCs w:val="20"/>
              </w:rPr>
            </w:pPr>
          </w:p>
        </w:tc>
      </w:tr>
      <w:tr w:rsidR="00DF0AD4" w:rsidTr="00DF0AD4">
        <w:trPr>
          <w:trHeight w:val="340"/>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Deprivation Quintile</w:t>
            </w:r>
          </w:p>
        </w:tc>
        <w:tc>
          <w:tcPr>
            <w:tcW w:w="903"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No</w:t>
            </w:r>
          </w:p>
        </w:tc>
        <w:tc>
          <w:tcPr>
            <w:tcW w:w="4536" w:type="dxa"/>
            <w:tcBorders>
              <w:top w:val="single" w:sz="4" w:space="0" w:color="auto"/>
              <w:left w:val="single" w:sz="4" w:space="0" w:color="auto"/>
              <w:bottom w:val="single" w:sz="4" w:space="0" w:color="auto"/>
              <w:right w:val="single" w:sz="4" w:space="0" w:color="auto"/>
            </w:tcBorders>
            <w:vAlign w:val="center"/>
          </w:tcPr>
          <w:p w:rsidR="00DF0AD4" w:rsidRDefault="00DF0AD4">
            <w:pPr>
              <w:rPr>
                <w:rFonts w:asciiTheme="minorHAnsi" w:hAnsiTheme="minorHAnsi" w:cs="Times New Roman"/>
                <w:sz w:val="20"/>
                <w:szCs w:val="20"/>
              </w:rPr>
            </w:pPr>
          </w:p>
        </w:tc>
      </w:tr>
      <w:tr w:rsidR="00DF0AD4" w:rsidTr="00DF0AD4">
        <w:trPr>
          <w:trHeight w:val="340"/>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 xml:space="preserve">NISRA Geography Urban/Rural Measure </w:t>
            </w:r>
          </w:p>
        </w:tc>
        <w:tc>
          <w:tcPr>
            <w:tcW w:w="903"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No</w:t>
            </w:r>
          </w:p>
        </w:tc>
        <w:tc>
          <w:tcPr>
            <w:tcW w:w="4536" w:type="dxa"/>
            <w:tcBorders>
              <w:top w:val="single" w:sz="4" w:space="0" w:color="auto"/>
              <w:left w:val="single" w:sz="4" w:space="0" w:color="auto"/>
              <w:bottom w:val="single" w:sz="4" w:space="0" w:color="auto"/>
              <w:right w:val="single" w:sz="4" w:space="0" w:color="auto"/>
            </w:tcBorders>
            <w:vAlign w:val="center"/>
          </w:tcPr>
          <w:p w:rsidR="00DF0AD4" w:rsidRDefault="00DF0AD4">
            <w:pPr>
              <w:rPr>
                <w:rFonts w:asciiTheme="minorHAnsi" w:hAnsiTheme="minorHAnsi" w:cs="Times New Roman"/>
                <w:sz w:val="20"/>
                <w:szCs w:val="20"/>
              </w:rPr>
            </w:pPr>
          </w:p>
        </w:tc>
      </w:tr>
      <w:tr w:rsidR="00DF0AD4" w:rsidTr="00DF0AD4">
        <w:trPr>
          <w:trHeight w:val="340"/>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Gender</w:t>
            </w:r>
          </w:p>
        </w:tc>
        <w:tc>
          <w:tcPr>
            <w:tcW w:w="903"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No</w:t>
            </w:r>
          </w:p>
        </w:tc>
        <w:tc>
          <w:tcPr>
            <w:tcW w:w="4536" w:type="dxa"/>
            <w:tcBorders>
              <w:top w:val="single" w:sz="4" w:space="0" w:color="auto"/>
              <w:left w:val="single" w:sz="4" w:space="0" w:color="auto"/>
              <w:bottom w:val="single" w:sz="4" w:space="0" w:color="auto"/>
              <w:right w:val="single" w:sz="4" w:space="0" w:color="auto"/>
            </w:tcBorders>
            <w:vAlign w:val="center"/>
          </w:tcPr>
          <w:p w:rsidR="00DF0AD4" w:rsidRDefault="00DF0AD4">
            <w:pPr>
              <w:rPr>
                <w:rFonts w:asciiTheme="minorHAnsi" w:hAnsiTheme="minorHAnsi" w:cs="Times New Roman"/>
                <w:sz w:val="20"/>
                <w:szCs w:val="20"/>
              </w:rPr>
            </w:pPr>
          </w:p>
        </w:tc>
      </w:tr>
      <w:tr w:rsidR="00DF0AD4" w:rsidTr="00DF0AD4">
        <w:trPr>
          <w:trHeight w:val="340"/>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sz w:val="20"/>
                <w:szCs w:val="20"/>
              </w:rPr>
            </w:pPr>
            <w:r>
              <w:rPr>
                <w:rFonts w:asciiTheme="minorHAnsi" w:hAnsiTheme="minorHAnsi"/>
                <w:b/>
                <w:sz w:val="20"/>
                <w:szCs w:val="20"/>
              </w:rPr>
              <w:t>Age</w:t>
            </w:r>
          </w:p>
        </w:tc>
        <w:tc>
          <w:tcPr>
            <w:tcW w:w="903"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Yes</w:t>
            </w:r>
          </w:p>
        </w:tc>
        <w:tc>
          <w:tcPr>
            <w:tcW w:w="4536"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Youth cases measured separately from adult ones.</w:t>
            </w:r>
          </w:p>
        </w:tc>
      </w:tr>
      <w:tr w:rsidR="00DF0AD4" w:rsidTr="00DF0AD4">
        <w:trPr>
          <w:trHeight w:val="340"/>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sz w:val="20"/>
                <w:szCs w:val="20"/>
              </w:rPr>
            </w:pPr>
            <w:r>
              <w:rPr>
                <w:rFonts w:asciiTheme="minorHAnsi" w:hAnsiTheme="minorHAnsi"/>
                <w:b/>
                <w:sz w:val="20"/>
                <w:szCs w:val="20"/>
              </w:rPr>
              <w:t>Marital Status</w:t>
            </w:r>
          </w:p>
        </w:tc>
        <w:tc>
          <w:tcPr>
            <w:tcW w:w="903"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No</w:t>
            </w:r>
          </w:p>
        </w:tc>
        <w:tc>
          <w:tcPr>
            <w:tcW w:w="4536" w:type="dxa"/>
            <w:tcBorders>
              <w:top w:val="single" w:sz="4" w:space="0" w:color="auto"/>
              <w:left w:val="single" w:sz="4" w:space="0" w:color="auto"/>
              <w:bottom w:val="single" w:sz="4" w:space="0" w:color="auto"/>
              <w:right w:val="single" w:sz="4" w:space="0" w:color="auto"/>
            </w:tcBorders>
            <w:vAlign w:val="center"/>
          </w:tcPr>
          <w:p w:rsidR="00DF0AD4" w:rsidRDefault="00DF0AD4">
            <w:pPr>
              <w:rPr>
                <w:rFonts w:asciiTheme="minorHAnsi" w:hAnsiTheme="minorHAnsi" w:cs="Times New Roman"/>
                <w:sz w:val="20"/>
                <w:szCs w:val="20"/>
              </w:rPr>
            </w:pPr>
          </w:p>
        </w:tc>
      </w:tr>
      <w:tr w:rsidR="00DF0AD4" w:rsidTr="00DF0AD4">
        <w:trPr>
          <w:trHeight w:val="340"/>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sz w:val="20"/>
                <w:szCs w:val="20"/>
              </w:rPr>
            </w:pPr>
            <w:r>
              <w:rPr>
                <w:rFonts w:asciiTheme="minorHAnsi" w:hAnsiTheme="minorHAnsi"/>
                <w:b/>
                <w:sz w:val="20"/>
                <w:szCs w:val="20"/>
              </w:rPr>
              <w:t>Religion</w:t>
            </w:r>
          </w:p>
        </w:tc>
        <w:tc>
          <w:tcPr>
            <w:tcW w:w="903"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No</w:t>
            </w:r>
          </w:p>
        </w:tc>
        <w:tc>
          <w:tcPr>
            <w:tcW w:w="4536" w:type="dxa"/>
            <w:tcBorders>
              <w:top w:val="single" w:sz="4" w:space="0" w:color="auto"/>
              <w:left w:val="single" w:sz="4" w:space="0" w:color="auto"/>
              <w:bottom w:val="single" w:sz="4" w:space="0" w:color="auto"/>
              <w:right w:val="single" w:sz="4" w:space="0" w:color="auto"/>
            </w:tcBorders>
            <w:vAlign w:val="center"/>
          </w:tcPr>
          <w:p w:rsidR="00DF0AD4" w:rsidRDefault="00DF0AD4">
            <w:pPr>
              <w:rPr>
                <w:rFonts w:asciiTheme="minorHAnsi" w:hAnsiTheme="minorHAnsi" w:cs="Times New Roman"/>
                <w:sz w:val="20"/>
                <w:szCs w:val="20"/>
              </w:rPr>
            </w:pPr>
          </w:p>
        </w:tc>
      </w:tr>
      <w:tr w:rsidR="00DF0AD4" w:rsidTr="00DF0AD4">
        <w:trPr>
          <w:trHeight w:val="340"/>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sz w:val="20"/>
                <w:szCs w:val="20"/>
              </w:rPr>
            </w:pPr>
            <w:r>
              <w:rPr>
                <w:rFonts w:asciiTheme="minorHAnsi" w:hAnsiTheme="minorHAnsi"/>
                <w:b/>
                <w:sz w:val="20"/>
                <w:szCs w:val="20"/>
              </w:rPr>
              <w:t>Political Opinion</w:t>
            </w:r>
          </w:p>
        </w:tc>
        <w:tc>
          <w:tcPr>
            <w:tcW w:w="903"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No</w:t>
            </w:r>
          </w:p>
        </w:tc>
        <w:tc>
          <w:tcPr>
            <w:tcW w:w="4536" w:type="dxa"/>
            <w:tcBorders>
              <w:top w:val="single" w:sz="4" w:space="0" w:color="auto"/>
              <w:left w:val="single" w:sz="4" w:space="0" w:color="auto"/>
              <w:bottom w:val="single" w:sz="4" w:space="0" w:color="auto"/>
              <w:right w:val="single" w:sz="4" w:space="0" w:color="auto"/>
            </w:tcBorders>
            <w:vAlign w:val="center"/>
          </w:tcPr>
          <w:p w:rsidR="00DF0AD4" w:rsidRDefault="00DF0AD4">
            <w:pPr>
              <w:rPr>
                <w:rFonts w:asciiTheme="minorHAnsi" w:hAnsiTheme="minorHAnsi" w:cs="Times New Roman"/>
                <w:sz w:val="20"/>
                <w:szCs w:val="20"/>
              </w:rPr>
            </w:pPr>
          </w:p>
        </w:tc>
      </w:tr>
      <w:tr w:rsidR="00DF0AD4" w:rsidTr="00DF0AD4">
        <w:trPr>
          <w:trHeight w:val="340"/>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sz w:val="20"/>
                <w:szCs w:val="20"/>
              </w:rPr>
            </w:pPr>
            <w:r>
              <w:rPr>
                <w:rFonts w:asciiTheme="minorHAnsi" w:hAnsiTheme="minorHAnsi"/>
                <w:b/>
                <w:sz w:val="20"/>
                <w:szCs w:val="20"/>
              </w:rPr>
              <w:t>Disability</w:t>
            </w:r>
          </w:p>
        </w:tc>
        <w:tc>
          <w:tcPr>
            <w:tcW w:w="903"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No</w:t>
            </w:r>
          </w:p>
        </w:tc>
        <w:tc>
          <w:tcPr>
            <w:tcW w:w="4536" w:type="dxa"/>
            <w:tcBorders>
              <w:top w:val="single" w:sz="4" w:space="0" w:color="auto"/>
              <w:left w:val="single" w:sz="4" w:space="0" w:color="auto"/>
              <w:bottom w:val="single" w:sz="4" w:space="0" w:color="auto"/>
              <w:right w:val="single" w:sz="4" w:space="0" w:color="auto"/>
            </w:tcBorders>
            <w:vAlign w:val="center"/>
          </w:tcPr>
          <w:p w:rsidR="00DF0AD4" w:rsidRDefault="00DF0AD4">
            <w:pPr>
              <w:rPr>
                <w:rFonts w:asciiTheme="minorHAnsi" w:hAnsiTheme="minorHAnsi" w:cs="Times New Roman"/>
                <w:sz w:val="20"/>
                <w:szCs w:val="20"/>
              </w:rPr>
            </w:pPr>
          </w:p>
        </w:tc>
      </w:tr>
      <w:tr w:rsidR="00DF0AD4" w:rsidTr="00DF0AD4">
        <w:trPr>
          <w:trHeight w:val="340"/>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sz w:val="20"/>
                <w:szCs w:val="20"/>
              </w:rPr>
            </w:pPr>
            <w:r>
              <w:rPr>
                <w:rFonts w:asciiTheme="minorHAnsi" w:hAnsiTheme="minorHAnsi"/>
                <w:b/>
                <w:sz w:val="20"/>
                <w:szCs w:val="20"/>
              </w:rPr>
              <w:t>Dependants</w:t>
            </w:r>
          </w:p>
        </w:tc>
        <w:tc>
          <w:tcPr>
            <w:tcW w:w="903"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No</w:t>
            </w:r>
          </w:p>
        </w:tc>
        <w:tc>
          <w:tcPr>
            <w:tcW w:w="4536" w:type="dxa"/>
            <w:tcBorders>
              <w:top w:val="single" w:sz="4" w:space="0" w:color="auto"/>
              <w:left w:val="single" w:sz="4" w:space="0" w:color="auto"/>
              <w:bottom w:val="single" w:sz="4" w:space="0" w:color="auto"/>
              <w:right w:val="single" w:sz="4" w:space="0" w:color="auto"/>
            </w:tcBorders>
            <w:vAlign w:val="center"/>
          </w:tcPr>
          <w:p w:rsidR="00DF0AD4" w:rsidRDefault="00DF0AD4">
            <w:pPr>
              <w:rPr>
                <w:rFonts w:asciiTheme="minorHAnsi" w:hAnsiTheme="minorHAnsi" w:cs="Times New Roman"/>
                <w:sz w:val="20"/>
                <w:szCs w:val="20"/>
              </w:rPr>
            </w:pPr>
          </w:p>
        </w:tc>
      </w:tr>
      <w:tr w:rsidR="00DF0AD4" w:rsidTr="00DF0AD4">
        <w:trPr>
          <w:trHeight w:val="340"/>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sz w:val="20"/>
                <w:szCs w:val="20"/>
              </w:rPr>
            </w:pPr>
            <w:r>
              <w:rPr>
                <w:rFonts w:asciiTheme="minorHAnsi" w:hAnsiTheme="minorHAnsi"/>
                <w:b/>
                <w:sz w:val="20"/>
                <w:szCs w:val="20"/>
              </w:rPr>
              <w:t>Sexual Orientation</w:t>
            </w:r>
          </w:p>
        </w:tc>
        <w:tc>
          <w:tcPr>
            <w:tcW w:w="903"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No</w:t>
            </w:r>
          </w:p>
        </w:tc>
        <w:tc>
          <w:tcPr>
            <w:tcW w:w="4536" w:type="dxa"/>
            <w:tcBorders>
              <w:top w:val="single" w:sz="4" w:space="0" w:color="auto"/>
              <w:left w:val="single" w:sz="4" w:space="0" w:color="auto"/>
              <w:bottom w:val="single" w:sz="4" w:space="0" w:color="auto"/>
              <w:right w:val="single" w:sz="4" w:space="0" w:color="auto"/>
            </w:tcBorders>
            <w:vAlign w:val="center"/>
          </w:tcPr>
          <w:p w:rsidR="00DF0AD4" w:rsidRDefault="00DF0AD4">
            <w:pPr>
              <w:rPr>
                <w:rFonts w:asciiTheme="minorHAnsi" w:hAnsiTheme="minorHAnsi" w:cs="Times New Roman"/>
                <w:sz w:val="20"/>
                <w:szCs w:val="20"/>
              </w:rPr>
            </w:pPr>
          </w:p>
        </w:tc>
      </w:tr>
      <w:tr w:rsidR="00DF0AD4" w:rsidTr="00DF0AD4">
        <w:trPr>
          <w:trHeight w:val="340"/>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sz w:val="20"/>
                <w:szCs w:val="20"/>
              </w:rPr>
            </w:pPr>
            <w:r>
              <w:rPr>
                <w:rFonts w:asciiTheme="minorHAnsi" w:hAnsiTheme="minorHAnsi"/>
                <w:b/>
                <w:sz w:val="20"/>
                <w:szCs w:val="20"/>
              </w:rPr>
              <w:t>Racial Group</w:t>
            </w:r>
          </w:p>
        </w:tc>
        <w:tc>
          <w:tcPr>
            <w:tcW w:w="903" w:type="dxa"/>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No</w:t>
            </w:r>
          </w:p>
        </w:tc>
        <w:tc>
          <w:tcPr>
            <w:tcW w:w="4536" w:type="dxa"/>
            <w:tcBorders>
              <w:top w:val="single" w:sz="4" w:space="0" w:color="auto"/>
              <w:left w:val="single" w:sz="4" w:space="0" w:color="auto"/>
              <w:bottom w:val="single" w:sz="4" w:space="0" w:color="auto"/>
              <w:right w:val="single" w:sz="4" w:space="0" w:color="auto"/>
            </w:tcBorders>
            <w:vAlign w:val="center"/>
          </w:tcPr>
          <w:p w:rsidR="00DF0AD4" w:rsidRDefault="00DF0AD4">
            <w:pPr>
              <w:rPr>
                <w:rFonts w:asciiTheme="minorHAnsi" w:hAnsiTheme="minorHAnsi" w:cs="Times New Roman"/>
                <w:sz w:val="20"/>
                <w:szCs w:val="20"/>
              </w:rPr>
            </w:pPr>
          </w:p>
        </w:tc>
      </w:tr>
      <w:tr w:rsidR="00DF0AD4" w:rsidTr="00DF0AD4">
        <w:trPr>
          <w:trHeight w:val="340"/>
        </w:trPr>
        <w:tc>
          <w:tcPr>
            <w:tcW w:w="4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DF0AD4" w:rsidRDefault="00DF0AD4">
            <w:pPr>
              <w:rPr>
                <w:rFonts w:asciiTheme="minorHAnsi" w:hAnsiTheme="minorHAnsi" w:cs="Times New Roman"/>
                <w:b/>
                <w:sz w:val="20"/>
                <w:szCs w:val="20"/>
              </w:rPr>
            </w:pPr>
            <w:r>
              <w:rPr>
                <w:rFonts w:asciiTheme="minorHAnsi" w:hAnsiTheme="minorHAnsi"/>
                <w:b/>
                <w:sz w:val="20"/>
                <w:szCs w:val="20"/>
              </w:rPr>
              <w:t>Lowest level geography at which the measure is available:</w:t>
            </w:r>
          </w:p>
        </w:tc>
        <w:tc>
          <w:tcPr>
            <w:tcW w:w="5439" w:type="dxa"/>
            <w:gridSpan w:val="2"/>
            <w:tcBorders>
              <w:top w:val="single" w:sz="4" w:space="0" w:color="auto"/>
              <w:left w:val="single" w:sz="4" w:space="0" w:color="auto"/>
              <w:bottom w:val="single" w:sz="4" w:space="0" w:color="auto"/>
              <w:right w:val="single" w:sz="4" w:space="0" w:color="auto"/>
            </w:tcBorders>
            <w:vAlign w:val="center"/>
            <w:hideMark/>
          </w:tcPr>
          <w:p w:rsidR="00DF0AD4" w:rsidRDefault="00DF0AD4">
            <w:pPr>
              <w:rPr>
                <w:rFonts w:asciiTheme="minorHAnsi" w:hAnsiTheme="minorHAnsi" w:cs="Times New Roman"/>
                <w:sz w:val="20"/>
                <w:szCs w:val="20"/>
              </w:rPr>
            </w:pPr>
            <w:r>
              <w:rPr>
                <w:rFonts w:asciiTheme="minorHAnsi" w:hAnsiTheme="minorHAnsi"/>
                <w:sz w:val="20"/>
                <w:szCs w:val="20"/>
              </w:rPr>
              <w:t>Northern Ireland.</w:t>
            </w:r>
          </w:p>
        </w:tc>
      </w:tr>
    </w:tbl>
    <w:bookmarkEnd w:id="0"/>
    <w:p w:rsidR="00DF0AD4" w:rsidRDefault="00DF0AD4" w:rsidP="00DF0AD4">
      <w:pPr>
        <w:rPr>
          <w:rFonts w:asciiTheme="minorHAnsi" w:hAnsiTheme="minorHAnsi"/>
          <w:sz w:val="20"/>
          <w:szCs w:val="20"/>
        </w:rPr>
      </w:pPr>
      <w:r>
        <w:rPr>
          <w:rFonts w:asciiTheme="minorHAnsi" w:hAnsiTheme="minorHAnsi"/>
          <w:sz w:val="20"/>
          <w:szCs w:val="20"/>
        </w:rPr>
        <w:t>* Due to confidentiality constraints, in some instances breakdowns may not be available due to small numbers</w:t>
      </w:r>
    </w:p>
    <w:p w:rsidR="00DF0AD4" w:rsidRDefault="00DF0AD4" w:rsidP="00DF0AD4">
      <w:pPr>
        <w:rPr>
          <w:rFonts w:asciiTheme="minorHAnsi" w:hAnsiTheme="minorHAnsi"/>
          <w:sz w:val="20"/>
          <w:szCs w:val="20"/>
        </w:rPr>
      </w:pPr>
    </w:p>
    <w:p w:rsidR="00DF0AD4" w:rsidRDefault="00DF0AD4" w:rsidP="00DF0AD4">
      <w:pPr>
        <w:rPr>
          <w:rFonts w:ascii="Calibri" w:hAnsi="Calibri"/>
          <w:sz w:val="22"/>
          <w:szCs w:val="28"/>
        </w:rPr>
      </w:pPr>
    </w:p>
    <w:p w:rsidR="005A6D33" w:rsidRPr="00DF0AD4" w:rsidRDefault="004D278B" w:rsidP="00DF0AD4">
      <w:r w:rsidRPr="00DF0AD4">
        <w:t xml:space="preserve"> </w:t>
      </w:r>
    </w:p>
    <w:sectPr w:rsidR="005A6D33" w:rsidRPr="00DF0AD4" w:rsidSect="00DF0AD4">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583" w:rsidRDefault="008A5583" w:rsidP="00DF0AD4">
      <w:pPr>
        <w:spacing w:after="0" w:line="240" w:lineRule="auto"/>
      </w:pPr>
      <w:r>
        <w:separator/>
      </w:r>
    </w:p>
  </w:endnote>
  <w:endnote w:type="continuationSeparator" w:id="0">
    <w:p w:rsidR="008A5583" w:rsidRDefault="008A5583" w:rsidP="00DF0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583" w:rsidRDefault="008A5583" w:rsidP="00DF0AD4">
      <w:pPr>
        <w:spacing w:after="0" w:line="240" w:lineRule="auto"/>
      </w:pPr>
      <w:r>
        <w:separator/>
      </w:r>
    </w:p>
  </w:footnote>
  <w:footnote w:type="continuationSeparator" w:id="0">
    <w:p w:rsidR="008A5583" w:rsidRDefault="008A5583" w:rsidP="00DF0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AD4" w:rsidRPr="00DF0AD4" w:rsidRDefault="00DF0AD4" w:rsidP="00DF0AD4">
    <w:pPr>
      <w:rPr>
        <w:rFonts w:asciiTheme="minorHAnsi" w:hAnsiTheme="minorHAnsi" w:cs="Arial"/>
        <w:b/>
        <w:color w:val="808080" w:themeColor="background1" w:themeShade="80"/>
        <w:sz w:val="28"/>
      </w:rPr>
    </w:pPr>
    <w:r>
      <w:rPr>
        <w:rFonts w:asciiTheme="minorHAnsi" w:hAnsiTheme="minorHAnsi" w:cs="Arial"/>
        <w:b/>
        <w:color w:val="808080" w:themeColor="background1" w:themeShade="80"/>
        <w:sz w:val="28"/>
      </w:rPr>
      <w:t>PFG – 2016/2021</w:t>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511D8"/>
    <w:multiLevelType w:val="hybridMultilevel"/>
    <w:tmpl w:val="87EC09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C3E"/>
    <w:rsid w:val="001E7CB9"/>
    <w:rsid w:val="002648E4"/>
    <w:rsid w:val="004971EC"/>
    <w:rsid w:val="004D278B"/>
    <w:rsid w:val="005A6D33"/>
    <w:rsid w:val="007B344A"/>
    <w:rsid w:val="007D6139"/>
    <w:rsid w:val="008A5583"/>
    <w:rsid w:val="00A20C3E"/>
    <w:rsid w:val="00DF0AD4"/>
    <w:rsid w:val="00F74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3AD23-827D-4E24-8100-82C663BB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C3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0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C3E"/>
    <w:rPr>
      <w:sz w:val="16"/>
      <w:szCs w:val="16"/>
    </w:rPr>
  </w:style>
  <w:style w:type="paragraph" w:styleId="CommentText">
    <w:name w:val="annotation text"/>
    <w:basedOn w:val="Normal"/>
    <w:link w:val="CommentTextChar"/>
    <w:uiPriority w:val="99"/>
    <w:semiHidden/>
    <w:unhideWhenUsed/>
    <w:rsid w:val="00A20C3E"/>
    <w:pPr>
      <w:spacing w:line="240" w:lineRule="auto"/>
    </w:pPr>
    <w:rPr>
      <w:sz w:val="20"/>
      <w:szCs w:val="20"/>
    </w:rPr>
  </w:style>
  <w:style w:type="character" w:customStyle="1" w:styleId="CommentTextChar">
    <w:name w:val="Comment Text Char"/>
    <w:basedOn w:val="DefaultParagraphFont"/>
    <w:link w:val="CommentText"/>
    <w:uiPriority w:val="99"/>
    <w:semiHidden/>
    <w:rsid w:val="00A20C3E"/>
    <w:rPr>
      <w:rFonts w:ascii="Arial" w:hAnsi="Arial"/>
      <w:sz w:val="20"/>
      <w:szCs w:val="20"/>
    </w:rPr>
  </w:style>
  <w:style w:type="paragraph" w:styleId="BalloonText">
    <w:name w:val="Balloon Text"/>
    <w:basedOn w:val="Normal"/>
    <w:link w:val="BalloonTextChar"/>
    <w:uiPriority w:val="99"/>
    <w:semiHidden/>
    <w:unhideWhenUsed/>
    <w:rsid w:val="00A20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C3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A20C3E"/>
    <w:rPr>
      <w:b/>
      <w:bCs/>
    </w:rPr>
  </w:style>
  <w:style w:type="character" w:customStyle="1" w:styleId="CommentSubjectChar">
    <w:name w:val="Comment Subject Char"/>
    <w:basedOn w:val="CommentTextChar"/>
    <w:link w:val="CommentSubject"/>
    <w:uiPriority w:val="99"/>
    <w:semiHidden/>
    <w:rsid w:val="00A20C3E"/>
    <w:rPr>
      <w:rFonts w:ascii="Arial" w:hAnsi="Arial"/>
      <w:b/>
      <w:bCs/>
      <w:sz w:val="20"/>
      <w:szCs w:val="20"/>
    </w:rPr>
  </w:style>
  <w:style w:type="paragraph" w:styleId="ListParagraph">
    <w:name w:val="List Paragraph"/>
    <w:basedOn w:val="Normal"/>
    <w:uiPriority w:val="34"/>
    <w:qFormat/>
    <w:rsid w:val="005A6D33"/>
    <w:pPr>
      <w:ind w:left="720"/>
      <w:contextualSpacing/>
    </w:pPr>
  </w:style>
  <w:style w:type="paragraph" w:styleId="Header">
    <w:name w:val="header"/>
    <w:basedOn w:val="Normal"/>
    <w:link w:val="HeaderChar"/>
    <w:uiPriority w:val="99"/>
    <w:unhideWhenUsed/>
    <w:rsid w:val="00DF0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0AD4"/>
    <w:rPr>
      <w:rFonts w:ascii="Arial" w:hAnsi="Arial"/>
      <w:sz w:val="24"/>
    </w:rPr>
  </w:style>
  <w:style w:type="paragraph" w:styleId="Footer">
    <w:name w:val="footer"/>
    <w:basedOn w:val="Normal"/>
    <w:link w:val="FooterChar"/>
    <w:uiPriority w:val="99"/>
    <w:unhideWhenUsed/>
    <w:rsid w:val="00DF0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0AD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43585">
      <w:bodyDiv w:val="1"/>
      <w:marLeft w:val="0"/>
      <w:marRight w:val="0"/>
      <w:marTop w:val="0"/>
      <w:marBottom w:val="0"/>
      <w:divBdr>
        <w:top w:val="none" w:sz="0" w:space="0" w:color="auto"/>
        <w:left w:val="none" w:sz="0" w:space="0" w:color="auto"/>
        <w:bottom w:val="none" w:sz="0" w:space="0" w:color="auto"/>
        <w:right w:val="none" w:sz="0" w:space="0" w:color="auto"/>
      </w:divBdr>
    </w:div>
    <w:div w:id="1162968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536</Words>
  <Characters>3058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DOJNI</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locwin7adm</dc:creator>
  <cp:keywords/>
  <dc:description/>
  <cp:lastModifiedBy>Niall O'Neill</cp:lastModifiedBy>
  <cp:revision>7</cp:revision>
  <dcterms:created xsi:type="dcterms:W3CDTF">2016-05-17T11:44:00Z</dcterms:created>
  <dcterms:modified xsi:type="dcterms:W3CDTF">2017-09-04T11:32:00Z</dcterms:modified>
</cp:coreProperties>
</file>