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E49" w:rsidRPr="008F671D" w:rsidRDefault="006D6E49" w:rsidP="006D6E49">
      <w:pPr>
        <w:jc w:val="both"/>
        <w:rPr>
          <w:rFonts w:asciiTheme="minorHAnsi" w:hAnsiTheme="minorHAnsi" w:cs="Arial"/>
          <w:b/>
          <w:sz w:val="20"/>
        </w:rPr>
      </w:pPr>
    </w:p>
    <w:tbl>
      <w:tblPr>
        <w:tblStyle w:val="TableGrid"/>
        <w:tblW w:w="10598" w:type="dxa"/>
        <w:tblLook w:val="04A0" w:firstRow="1" w:lastRow="0" w:firstColumn="1" w:lastColumn="0" w:noHBand="0" w:noVBand="1"/>
      </w:tblPr>
      <w:tblGrid>
        <w:gridCol w:w="3397"/>
        <w:gridCol w:w="7201"/>
      </w:tblGrid>
      <w:tr w:rsidR="003E6FDF" w:rsidRPr="008F671D" w:rsidTr="00882FF5">
        <w:trPr>
          <w:trHeight w:val="397"/>
        </w:trPr>
        <w:tc>
          <w:tcPr>
            <w:tcW w:w="3397" w:type="dxa"/>
            <w:shd w:val="clear" w:color="auto" w:fill="D9D9D9" w:themeFill="background1" w:themeFillShade="D9"/>
            <w:vAlign w:val="center"/>
          </w:tcPr>
          <w:p w:rsidR="003E6FDF" w:rsidRPr="00952736" w:rsidRDefault="00837F05" w:rsidP="004A3E72">
            <w:pPr>
              <w:rPr>
                <w:rFonts w:asciiTheme="minorHAnsi" w:hAnsiTheme="minorHAnsi"/>
                <w:b/>
                <w:sz w:val="20"/>
                <w:szCs w:val="20"/>
              </w:rPr>
            </w:pPr>
            <w:bookmarkStart w:id="0" w:name="OLE_LINK1"/>
            <w:r w:rsidRPr="00952736">
              <w:rPr>
                <w:rFonts w:asciiTheme="minorHAnsi" w:hAnsiTheme="minorHAnsi"/>
                <w:b/>
                <w:sz w:val="20"/>
                <w:szCs w:val="20"/>
              </w:rPr>
              <w:t>Indicator</w:t>
            </w:r>
            <w:bookmarkStart w:id="1" w:name="_GoBack"/>
            <w:r w:rsidR="00FA749E" w:rsidRPr="00525D17">
              <w:rPr>
                <w:rFonts w:asciiTheme="minorHAnsi" w:hAnsiTheme="minorHAnsi"/>
                <w:b/>
                <w:sz w:val="20"/>
                <w:szCs w:val="20"/>
              </w:rPr>
              <w:t xml:space="preserve"> </w:t>
            </w:r>
            <w:r w:rsidR="004A3E72" w:rsidRPr="00525D17">
              <w:rPr>
                <w:rFonts w:asciiTheme="minorHAnsi" w:hAnsiTheme="minorHAnsi"/>
                <w:b/>
                <w:sz w:val="20"/>
                <w:szCs w:val="20"/>
              </w:rPr>
              <w:t>8</w:t>
            </w:r>
            <w:r w:rsidR="00FA749E" w:rsidRPr="00525D17">
              <w:rPr>
                <w:rFonts w:asciiTheme="minorHAnsi" w:hAnsiTheme="minorHAnsi"/>
                <w:b/>
                <w:sz w:val="20"/>
                <w:szCs w:val="20"/>
              </w:rPr>
              <w:t xml:space="preserve"> </w:t>
            </w:r>
            <w:bookmarkEnd w:id="1"/>
            <w:r w:rsidR="003E6FDF" w:rsidRPr="00952736">
              <w:rPr>
                <w:rFonts w:asciiTheme="minorHAnsi" w:hAnsiTheme="minorHAnsi"/>
                <w:b/>
                <w:sz w:val="20"/>
                <w:szCs w:val="20"/>
              </w:rPr>
              <w:t>:</w:t>
            </w:r>
            <w:r w:rsidR="00FA749E">
              <w:rPr>
                <w:rFonts w:asciiTheme="minorHAnsi" w:hAnsiTheme="minorHAnsi"/>
                <w:b/>
                <w:sz w:val="20"/>
                <w:szCs w:val="20"/>
              </w:rPr>
              <w:t xml:space="preserve"> </w:t>
            </w:r>
          </w:p>
        </w:tc>
        <w:tc>
          <w:tcPr>
            <w:tcW w:w="7201" w:type="dxa"/>
            <w:vAlign w:val="center"/>
          </w:tcPr>
          <w:p w:rsidR="00FB47D0" w:rsidRPr="00882FF5" w:rsidRDefault="002F4E1D" w:rsidP="00837F05">
            <w:pPr>
              <w:rPr>
                <w:rFonts w:asciiTheme="minorHAnsi" w:hAnsiTheme="minorHAnsi"/>
                <w:b/>
                <w:sz w:val="20"/>
                <w:szCs w:val="20"/>
              </w:rPr>
            </w:pPr>
            <w:r>
              <w:rPr>
                <w:rFonts w:asciiTheme="minorHAnsi" w:hAnsiTheme="minorHAnsi" w:cs="Arial"/>
                <w:b/>
                <w:sz w:val="20"/>
                <w:szCs w:val="20"/>
              </w:rPr>
              <w:t>Number of households in housing stress</w:t>
            </w:r>
          </w:p>
        </w:tc>
      </w:tr>
    </w:tbl>
    <w:p w:rsidR="00FB47D0" w:rsidRPr="008F671D" w:rsidRDefault="00FB47D0">
      <w:pPr>
        <w:rPr>
          <w:rFonts w:asciiTheme="minorHAnsi" w:hAnsiTheme="minorHAnsi"/>
        </w:rPr>
      </w:pPr>
    </w:p>
    <w:tbl>
      <w:tblPr>
        <w:tblStyle w:val="TableGrid"/>
        <w:tblW w:w="10598" w:type="dxa"/>
        <w:tblLook w:val="04A0" w:firstRow="1" w:lastRow="0" w:firstColumn="1" w:lastColumn="0" w:noHBand="0" w:noVBand="1"/>
      </w:tblPr>
      <w:tblGrid>
        <w:gridCol w:w="2480"/>
        <w:gridCol w:w="2063"/>
        <w:gridCol w:w="6055"/>
      </w:tblGrid>
      <w:tr w:rsidR="002F4E1D" w:rsidRPr="008F671D" w:rsidTr="00A85CFB">
        <w:trPr>
          <w:trHeight w:val="340"/>
        </w:trPr>
        <w:tc>
          <w:tcPr>
            <w:tcW w:w="3369" w:type="dxa"/>
            <w:shd w:val="clear" w:color="auto" w:fill="D9D9D9" w:themeFill="background1" w:themeFillShade="D9"/>
            <w:vAlign w:val="center"/>
          </w:tcPr>
          <w:p w:rsidR="002F4E1D" w:rsidRPr="00345E2E" w:rsidRDefault="002F4E1D" w:rsidP="002F4E1D">
            <w:pPr>
              <w:rPr>
                <w:rFonts w:asciiTheme="minorHAnsi" w:hAnsiTheme="minorHAnsi"/>
                <w:b/>
                <w:sz w:val="20"/>
                <w:szCs w:val="20"/>
              </w:rPr>
            </w:pPr>
            <w:r w:rsidRPr="00345E2E">
              <w:rPr>
                <w:rFonts w:asciiTheme="minorHAnsi" w:hAnsiTheme="minorHAnsi"/>
                <w:b/>
                <w:sz w:val="20"/>
                <w:szCs w:val="20"/>
              </w:rPr>
              <w:t xml:space="preserve">Responsible Statistician: </w:t>
            </w:r>
          </w:p>
        </w:tc>
        <w:tc>
          <w:tcPr>
            <w:tcW w:w="7229" w:type="dxa"/>
            <w:gridSpan w:val="2"/>
            <w:vAlign w:val="center"/>
          </w:tcPr>
          <w:p w:rsidR="002F4E1D" w:rsidRDefault="002F4E1D" w:rsidP="002F4E1D">
            <w:pPr>
              <w:rPr>
                <w:rFonts w:asciiTheme="minorHAnsi" w:hAnsiTheme="minorHAnsi"/>
                <w:sz w:val="20"/>
                <w:szCs w:val="20"/>
              </w:rPr>
            </w:pPr>
            <w:r>
              <w:rPr>
                <w:rFonts w:asciiTheme="minorHAnsi" w:hAnsiTheme="minorHAnsi"/>
                <w:sz w:val="20"/>
                <w:szCs w:val="20"/>
              </w:rPr>
              <w:t>Celeste McCallion, Department for Communities</w:t>
            </w:r>
          </w:p>
        </w:tc>
      </w:tr>
      <w:tr w:rsidR="002F4E1D" w:rsidRPr="008F671D" w:rsidTr="00A85CFB">
        <w:trPr>
          <w:trHeight w:val="340"/>
        </w:trPr>
        <w:tc>
          <w:tcPr>
            <w:tcW w:w="3369" w:type="dxa"/>
            <w:shd w:val="clear" w:color="auto" w:fill="D9D9D9" w:themeFill="background1" w:themeFillShade="D9"/>
            <w:vAlign w:val="center"/>
          </w:tcPr>
          <w:p w:rsidR="002F4E1D" w:rsidRPr="00345E2E" w:rsidRDefault="002F4E1D" w:rsidP="002F4E1D">
            <w:pPr>
              <w:rPr>
                <w:rFonts w:asciiTheme="minorHAnsi" w:hAnsiTheme="minorHAnsi"/>
                <w:b/>
                <w:sz w:val="20"/>
                <w:szCs w:val="20"/>
              </w:rPr>
            </w:pPr>
            <w:r w:rsidRPr="00345E2E">
              <w:rPr>
                <w:rFonts w:asciiTheme="minorHAnsi" w:hAnsiTheme="minorHAnsi"/>
                <w:b/>
                <w:sz w:val="20"/>
                <w:szCs w:val="20"/>
              </w:rPr>
              <w:t>Web Link to Statistical Publication:</w:t>
            </w:r>
          </w:p>
        </w:tc>
        <w:tc>
          <w:tcPr>
            <w:tcW w:w="7229" w:type="dxa"/>
            <w:gridSpan w:val="2"/>
            <w:vAlign w:val="center"/>
          </w:tcPr>
          <w:p w:rsidR="002F4E1D" w:rsidRDefault="005C4993" w:rsidP="002F4E1D">
            <w:pPr>
              <w:rPr>
                <w:rFonts w:asciiTheme="minorHAnsi" w:hAnsiTheme="minorHAnsi"/>
                <w:sz w:val="20"/>
                <w:szCs w:val="20"/>
              </w:rPr>
            </w:pPr>
            <w:hyperlink r:id="rId8" w:history="1">
              <w:r w:rsidR="00C8103D" w:rsidRPr="00452D16">
                <w:rPr>
                  <w:rStyle w:val="Hyperlink"/>
                  <w:rFonts w:asciiTheme="minorHAnsi" w:hAnsiTheme="minorHAnsi" w:cstheme="minorHAnsi"/>
                  <w:color w:val="00B050"/>
                  <w:sz w:val="20"/>
                  <w:szCs w:val="20"/>
                </w:rPr>
                <w:t>Northern Ireland Housing Statistics 2019-20 | Department for Communities (communities-ni.gov.uk)</w:t>
              </w:r>
            </w:hyperlink>
            <w:r w:rsidR="002F4E1D" w:rsidRPr="00452D16">
              <w:rPr>
                <w:rFonts w:asciiTheme="minorHAnsi" w:hAnsiTheme="minorHAnsi"/>
                <w:color w:val="00B050"/>
                <w:sz w:val="20"/>
                <w:szCs w:val="20"/>
              </w:rPr>
              <w:t xml:space="preserve">  </w:t>
            </w:r>
            <w:r w:rsidR="002F4E1D">
              <w:rPr>
                <w:rFonts w:asciiTheme="minorHAnsi" w:hAnsiTheme="minorHAnsi"/>
                <w:sz w:val="20"/>
                <w:szCs w:val="20"/>
              </w:rPr>
              <w:t>(Northern Ireland Housing Statistics Report)</w:t>
            </w:r>
          </w:p>
        </w:tc>
      </w:tr>
      <w:tr w:rsidR="002F4E1D" w:rsidRPr="008F671D" w:rsidTr="00A85CFB">
        <w:trPr>
          <w:trHeight w:val="340"/>
        </w:trPr>
        <w:tc>
          <w:tcPr>
            <w:tcW w:w="3369" w:type="dxa"/>
            <w:shd w:val="clear" w:color="auto" w:fill="D9D9D9" w:themeFill="background1" w:themeFillShade="D9"/>
            <w:vAlign w:val="center"/>
          </w:tcPr>
          <w:p w:rsidR="002F4E1D" w:rsidRPr="00345E2E" w:rsidRDefault="002F4E1D" w:rsidP="002F4E1D">
            <w:pPr>
              <w:rPr>
                <w:rFonts w:asciiTheme="minorHAnsi" w:hAnsiTheme="minorHAnsi"/>
                <w:b/>
                <w:sz w:val="20"/>
                <w:szCs w:val="20"/>
              </w:rPr>
            </w:pPr>
            <w:r>
              <w:rPr>
                <w:rFonts w:asciiTheme="minorHAnsi" w:hAnsiTheme="minorHAnsi"/>
                <w:b/>
                <w:sz w:val="20"/>
                <w:szCs w:val="20"/>
              </w:rPr>
              <w:t>Frequency of update</w:t>
            </w:r>
            <w:r w:rsidRPr="00345E2E">
              <w:rPr>
                <w:rFonts w:asciiTheme="minorHAnsi" w:hAnsiTheme="minorHAnsi"/>
                <w:b/>
                <w:sz w:val="20"/>
                <w:szCs w:val="20"/>
              </w:rPr>
              <w:t>:</w:t>
            </w:r>
          </w:p>
        </w:tc>
        <w:tc>
          <w:tcPr>
            <w:tcW w:w="7229" w:type="dxa"/>
            <w:gridSpan w:val="2"/>
            <w:vAlign w:val="center"/>
          </w:tcPr>
          <w:p w:rsidR="002F4E1D" w:rsidRDefault="002F4E1D" w:rsidP="002F4E1D">
            <w:pPr>
              <w:rPr>
                <w:rFonts w:asciiTheme="minorHAnsi" w:hAnsiTheme="minorHAnsi"/>
                <w:sz w:val="20"/>
                <w:szCs w:val="20"/>
              </w:rPr>
            </w:pPr>
            <w:r>
              <w:rPr>
                <w:rFonts w:asciiTheme="minorHAnsi" w:hAnsiTheme="minorHAnsi"/>
                <w:sz w:val="20"/>
                <w:szCs w:val="20"/>
              </w:rPr>
              <w:t>Annually</w:t>
            </w:r>
          </w:p>
        </w:tc>
      </w:tr>
      <w:tr w:rsidR="002F4E1D" w:rsidRPr="008F671D" w:rsidTr="00A85CFB">
        <w:trPr>
          <w:trHeight w:val="340"/>
        </w:trPr>
        <w:tc>
          <w:tcPr>
            <w:tcW w:w="3369" w:type="dxa"/>
            <w:shd w:val="clear" w:color="auto" w:fill="D9D9D9" w:themeFill="background1" w:themeFillShade="D9"/>
            <w:vAlign w:val="center"/>
          </w:tcPr>
          <w:p w:rsidR="002F4E1D" w:rsidRPr="00345E2E" w:rsidRDefault="002F4E1D" w:rsidP="002F4E1D">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ime lag:</w:t>
            </w:r>
          </w:p>
        </w:tc>
        <w:tc>
          <w:tcPr>
            <w:tcW w:w="7229" w:type="dxa"/>
            <w:gridSpan w:val="2"/>
            <w:vAlign w:val="center"/>
          </w:tcPr>
          <w:p w:rsidR="002F4E1D" w:rsidRDefault="002F4E1D" w:rsidP="002F4E1D">
            <w:pPr>
              <w:rPr>
                <w:rFonts w:asciiTheme="minorHAnsi" w:hAnsiTheme="minorHAnsi"/>
                <w:sz w:val="20"/>
                <w:szCs w:val="20"/>
              </w:rPr>
            </w:pPr>
            <w:r>
              <w:rPr>
                <w:rFonts w:asciiTheme="minorHAnsi" w:hAnsiTheme="minorHAnsi"/>
                <w:sz w:val="20"/>
                <w:szCs w:val="20"/>
              </w:rPr>
              <w:t>7-8 months</w:t>
            </w:r>
          </w:p>
        </w:tc>
      </w:tr>
      <w:tr w:rsidR="002F4E1D" w:rsidRPr="008F671D" w:rsidTr="00A85CFB">
        <w:trPr>
          <w:trHeight w:val="340"/>
        </w:trPr>
        <w:tc>
          <w:tcPr>
            <w:tcW w:w="3369" w:type="dxa"/>
            <w:shd w:val="clear" w:color="auto" w:fill="D9D9D9" w:themeFill="background1" w:themeFillShade="D9"/>
            <w:vAlign w:val="center"/>
          </w:tcPr>
          <w:p w:rsidR="002F4E1D" w:rsidRPr="00345E2E" w:rsidRDefault="002F4E1D" w:rsidP="002F4E1D">
            <w:pPr>
              <w:rPr>
                <w:rFonts w:asciiTheme="minorHAnsi" w:hAnsiTheme="minorHAnsi"/>
                <w:b/>
                <w:sz w:val="20"/>
                <w:szCs w:val="20"/>
              </w:rPr>
            </w:pPr>
            <w:r w:rsidRPr="00345E2E">
              <w:rPr>
                <w:rFonts w:asciiTheme="minorHAnsi" w:hAnsiTheme="minorHAnsi"/>
                <w:b/>
                <w:sz w:val="20"/>
                <w:szCs w:val="20"/>
              </w:rPr>
              <w:t>Data Source:</w:t>
            </w:r>
          </w:p>
        </w:tc>
        <w:tc>
          <w:tcPr>
            <w:tcW w:w="7229" w:type="dxa"/>
            <w:gridSpan w:val="2"/>
            <w:vAlign w:val="center"/>
          </w:tcPr>
          <w:p w:rsidR="002F4E1D" w:rsidRDefault="002F4E1D" w:rsidP="002F4E1D">
            <w:pPr>
              <w:rPr>
                <w:rFonts w:asciiTheme="minorHAnsi" w:hAnsiTheme="minorHAnsi"/>
                <w:sz w:val="20"/>
                <w:szCs w:val="20"/>
              </w:rPr>
            </w:pPr>
            <w:r>
              <w:rPr>
                <w:rFonts w:asciiTheme="minorHAnsi" w:hAnsiTheme="minorHAnsi"/>
                <w:sz w:val="20"/>
                <w:szCs w:val="20"/>
              </w:rPr>
              <w:t>Administrative</w:t>
            </w:r>
          </w:p>
        </w:tc>
      </w:tr>
      <w:tr w:rsidR="002F4E1D" w:rsidRPr="008F671D" w:rsidTr="00A85CFB">
        <w:trPr>
          <w:trHeight w:val="340"/>
        </w:trPr>
        <w:tc>
          <w:tcPr>
            <w:tcW w:w="3369" w:type="dxa"/>
            <w:shd w:val="clear" w:color="auto" w:fill="D9D9D9" w:themeFill="background1" w:themeFillShade="D9"/>
            <w:vAlign w:val="center"/>
          </w:tcPr>
          <w:p w:rsidR="002F4E1D" w:rsidRPr="00345E2E" w:rsidRDefault="002F4E1D" w:rsidP="002F4E1D">
            <w:pPr>
              <w:rPr>
                <w:rFonts w:asciiTheme="minorHAnsi" w:hAnsiTheme="minorHAnsi"/>
                <w:b/>
                <w:sz w:val="20"/>
                <w:szCs w:val="20"/>
              </w:rPr>
            </w:pPr>
            <w:r w:rsidRPr="00345E2E">
              <w:rPr>
                <w:rFonts w:asciiTheme="minorHAnsi" w:hAnsiTheme="minorHAnsi"/>
                <w:b/>
                <w:sz w:val="20"/>
                <w:szCs w:val="20"/>
              </w:rPr>
              <w:t>National Statistics</w:t>
            </w:r>
            <w:r>
              <w:rPr>
                <w:rFonts w:asciiTheme="minorHAnsi" w:hAnsiTheme="minorHAnsi"/>
                <w:b/>
                <w:sz w:val="20"/>
                <w:szCs w:val="20"/>
              </w:rPr>
              <w:t xml:space="preserve"> Status</w:t>
            </w:r>
          </w:p>
        </w:tc>
        <w:tc>
          <w:tcPr>
            <w:tcW w:w="7229" w:type="dxa"/>
            <w:gridSpan w:val="2"/>
            <w:vAlign w:val="center"/>
          </w:tcPr>
          <w:p w:rsidR="002F4E1D" w:rsidRDefault="002F4E1D" w:rsidP="002F4E1D">
            <w:pPr>
              <w:rPr>
                <w:rFonts w:asciiTheme="minorHAnsi" w:hAnsiTheme="minorHAnsi"/>
                <w:sz w:val="20"/>
                <w:szCs w:val="20"/>
              </w:rPr>
            </w:pPr>
            <w:r>
              <w:rPr>
                <w:rFonts w:asciiTheme="minorHAnsi" w:hAnsiTheme="minorHAnsi"/>
                <w:sz w:val="20"/>
                <w:szCs w:val="20"/>
              </w:rPr>
              <w:t>National Statistics</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Quality Report:</w:t>
            </w:r>
          </w:p>
        </w:tc>
        <w:tc>
          <w:tcPr>
            <w:tcW w:w="7229" w:type="dxa"/>
            <w:gridSpan w:val="2"/>
            <w:vAlign w:val="center"/>
          </w:tcPr>
          <w:p w:rsidR="002F4E1D" w:rsidRDefault="005C4993" w:rsidP="002F4E1D">
            <w:pPr>
              <w:rPr>
                <w:rFonts w:asciiTheme="minorHAnsi" w:hAnsiTheme="minorHAnsi"/>
                <w:sz w:val="20"/>
                <w:szCs w:val="20"/>
              </w:rPr>
            </w:pPr>
            <w:hyperlink r:id="rId9" w:history="1">
              <w:r w:rsidR="00C8103D" w:rsidRPr="00452D16">
                <w:rPr>
                  <w:rStyle w:val="Hyperlink"/>
                  <w:rFonts w:asciiTheme="minorHAnsi" w:hAnsiTheme="minorHAnsi" w:cstheme="minorHAnsi"/>
                  <w:color w:val="00B050"/>
                  <w:sz w:val="20"/>
                  <w:szCs w:val="20"/>
                </w:rPr>
                <w:t>Northern Ireland Housing Statistics 2019-20 | Department for Communities (communities-ni.gov.uk)</w:t>
              </w:r>
            </w:hyperlink>
            <w:r w:rsidR="00C8103D">
              <w:rPr>
                <w:rFonts w:asciiTheme="minorHAnsi" w:hAnsiTheme="minorHAnsi"/>
                <w:sz w:val="20"/>
                <w:szCs w:val="20"/>
              </w:rPr>
              <w:t xml:space="preserve"> </w:t>
            </w:r>
            <w:r w:rsidR="002F4E1D">
              <w:rPr>
                <w:rFonts w:asciiTheme="minorHAnsi" w:hAnsiTheme="minorHAnsi"/>
                <w:sz w:val="20"/>
                <w:szCs w:val="20"/>
              </w:rPr>
              <w:t xml:space="preserve">(Appendix 3 of Northern Ireland Housing Statistics Report) </w:t>
            </w:r>
          </w:p>
          <w:p w:rsidR="002F4E1D" w:rsidRDefault="005C4993" w:rsidP="002F4E1D">
            <w:pPr>
              <w:rPr>
                <w:rFonts w:asciiTheme="minorHAnsi" w:hAnsiTheme="minorHAnsi"/>
                <w:color w:val="00B050"/>
                <w:sz w:val="20"/>
                <w:szCs w:val="20"/>
              </w:rPr>
            </w:pPr>
            <w:hyperlink r:id="rId10" w:history="1">
              <w:r w:rsidR="002F4E1D">
                <w:rPr>
                  <w:rStyle w:val="Hyperlink"/>
                  <w:rFonts w:asciiTheme="minorHAnsi" w:hAnsiTheme="minorHAnsi"/>
                  <w:color w:val="00B050"/>
                  <w:sz w:val="20"/>
                  <w:szCs w:val="20"/>
                </w:rPr>
                <w:t>https://www.communities-ni.gov.uk/publications/quality-assurance-administrative-data-northern-ireland-housing-statistics</w:t>
              </w:r>
            </w:hyperlink>
          </w:p>
          <w:p w:rsidR="00A85CFB" w:rsidRPr="008F671D" w:rsidRDefault="002F4E1D" w:rsidP="002F4E1D">
            <w:pPr>
              <w:rPr>
                <w:rFonts w:asciiTheme="minorHAnsi" w:hAnsiTheme="minorHAnsi"/>
                <w:sz w:val="20"/>
              </w:rPr>
            </w:pPr>
            <w:r>
              <w:rPr>
                <w:rFonts w:asciiTheme="minorHAnsi" w:hAnsiTheme="minorHAnsi"/>
                <w:color w:val="00B050"/>
                <w:sz w:val="20"/>
                <w:szCs w:val="20"/>
              </w:rPr>
              <w:t>(Quality Assurance of Administrative Data for NI Housing Statistics)</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Historic Data available from:</w:t>
            </w:r>
          </w:p>
        </w:tc>
        <w:tc>
          <w:tcPr>
            <w:tcW w:w="7229" w:type="dxa"/>
            <w:gridSpan w:val="2"/>
            <w:vAlign w:val="center"/>
          </w:tcPr>
          <w:p w:rsidR="00A85CFB" w:rsidRPr="008F671D" w:rsidRDefault="00A85CFB" w:rsidP="00AE2092">
            <w:pPr>
              <w:rPr>
                <w:rFonts w:asciiTheme="minorHAnsi" w:hAnsiTheme="minorHAnsi"/>
                <w:sz w:val="20"/>
              </w:rPr>
            </w:pPr>
            <w:r>
              <w:rPr>
                <w:rFonts w:asciiTheme="minorHAnsi" w:hAnsiTheme="minorHAnsi"/>
                <w:sz w:val="20"/>
              </w:rPr>
              <w:t xml:space="preserve"> </w:t>
            </w:r>
            <w:r w:rsidR="002F4E1D">
              <w:rPr>
                <w:rFonts w:asciiTheme="minorHAnsi" w:hAnsiTheme="minorHAnsi"/>
                <w:sz w:val="20"/>
                <w:szCs w:val="20"/>
              </w:rPr>
              <w:t>Time series in latest publication starts at 2002-03</w:t>
            </w:r>
          </w:p>
        </w:tc>
      </w:tr>
      <w:tr w:rsidR="00A85CFB" w:rsidRPr="008F671D" w:rsidTr="00823C0A">
        <w:trPr>
          <w:trHeight w:val="4366"/>
        </w:trPr>
        <w:tc>
          <w:tcPr>
            <w:tcW w:w="3369" w:type="dxa"/>
            <w:shd w:val="clear" w:color="auto" w:fill="D9D9D9" w:themeFill="background1" w:themeFillShade="D9"/>
            <w:vAlign w:val="center"/>
          </w:tcPr>
          <w:p w:rsidR="00A85CFB" w:rsidRPr="004D6771" w:rsidRDefault="00A85CFB" w:rsidP="00C06DF4">
            <w:pPr>
              <w:rPr>
                <w:rFonts w:asciiTheme="minorHAnsi" w:hAnsiTheme="minorHAnsi"/>
                <w:b/>
                <w:sz w:val="20"/>
                <w:szCs w:val="20"/>
              </w:rPr>
            </w:pPr>
            <w:r w:rsidRPr="004D6771">
              <w:rPr>
                <w:rFonts w:asciiTheme="minorHAnsi" w:hAnsiTheme="minorHAnsi"/>
                <w:b/>
                <w:sz w:val="20"/>
                <w:szCs w:val="20"/>
              </w:rPr>
              <w:t xml:space="preserve">Time-series trend: </w:t>
            </w:r>
          </w:p>
          <w:p w:rsidR="00A85CFB" w:rsidRPr="00B8684A" w:rsidRDefault="00A85CFB" w:rsidP="00C06DF4">
            <w:pPr>
              <w:rPr>
                <w:rFonts w:asciiTheme="minorHAnsi" w:hAnsiTheme="minorHAnsi"/>
                <w:b/>
                <w:sz w:val="20"/>
                <w:szCs w:val="20"/>
                <w:highlight w:val="yellow"/>
              </w:rPr>
            </w:pPr>
          </w:p>
          <w:p w:rsidR="00A85CFB" w:rsidRPr="00B8684A" w:rsidRDefault="00A85CFB" w:rsidP="00C06DF4">
            <w:pPr>
              <w:rPr>
                <w:rFonts w:asciiTheme="minorHAnsi" w:hAnsiTheme="minorHAnsi"/>
                <w:sz w:val="20"/>
                <w:szCs w:val="20"/>
                <w:highlight w:val="yellow"/>
              </w:rPr>
            </w:pPr>
          </w:p>
        </w:tc>
        <w:tc>
          <w:tcPr>
            <w:tcW w:w="7229" w:type="dxa"/>
            <w:gridSpan w:val="2"/>
            <w:vAlign w:val="center"/>
          </w:tcPr>
          <w:p w:rsidR="002F4E1D" w:rsidRDefault="002F4E1D" w:rsidP="002F4E1D">
            <w:pPr>
              <w:rPr>
                <w:rFonts w:asciiTheme="minorHAnsi" w:hAnsiTheme="minorHAnsi"/>
                <w:color w:val="00B050"/>
                <w:sz w:val="20"/>
                <w:szCs w:val="20"/>
              </w:rPr>
            </w:pPr>
            <w:r>
              <w:rPr>
                <w:rFonts w:asciiTheme="minorHAnsi" w:hAnsiTheme="minorHAnsi"/>
                <w:color w:val="00B050"/>
                <w:sz w:val="20"/>
                <w:szCs w:val="20"/>
              </w:rPr>
              <w:t>The latest pub</w:t>
            </w:r>
            <w:r w:rsidR="00B36140">
              <w:rPr>
                <w:rFonts w:asciiTheme="minorHAnsi" w:hAnsiTheme="minorHAnsi"/>
                <w:color w:val="00B050"/>
                <w:sz w:val="20"/>
                <w:szCs w:val="20"/>
              </w:rPr>
              <w:t>lished time series from the 2019-20</w:t>
            </w:r>
            <w:r>
              <w:rPr>
                <w:rFonts w:asciiTheme="minorHAnsi" w:hAnsiTheme="minorHAnsi"/>
                <w:color w:val="00B050"/>
                <w:sz w:val="20"/>
                <w:szCs w:val="20"/>
              </w:rPr>
              <w:t xml:space="preserve"> report is available at the following link (Table 3.5) and partly replicated below:</w:t>
            </w:r>
          </w:p>
          <w:p w:rsidR="002F4E1D" w:rsidRDefault="005C4993" w:rsidP="002F4E1D">
            <w:pPr>
              <w:rPr>
                <w:rFonts w:asciiTheme="minorHAnsi" w:hAnsiTheme="minorHAnsi"/>
                <w:b/>
                <w:sz w:val="20"/>
                <w:szCs w:val="20"/>
              </w:rPr>
            </w:pPr>
            <w:hyperlink r:id="rId11" w:history="1">
              <w:r w:rsidR="00C8103D" w:rsidRPr="00452D16">
                <w:rPr>
                  <w:rStyle w:val="Hyperlink"/>
                  <w:rFonts w:asciiTheme="minorHAnsi" w:hAnsiTheme="minorHAnsi"/>
                  <w:color w:val="00B050"/>
                  <w:sz w:val="20"/>
                  <w:szCs w:val="20"/>
                </w:rPr>
                <w:t>https://www.communities-ni.gov.uk/system/files/publications/communities/ni-housing-stats-19-20-tables3.ods</w:t>
              </w:r>
            </w:hyperlink>
            <w:r w:rsidR="00C8103D">
              <w:rPr>
                <w:rStyle w:val="Hyperlink"/>
                <w:rFonts w:asciiTheme="minorHAnsi" w:hAnsiTheme="minorHAnsi"/>
                <w:sz w:val="20"/>
                <w:szCs w:val="20"/>
              </w:rPr>
              <w:t xml:space="preserve"> </w:t>
            </w:r>
            <w:r w:rsidR="002F4E1D">
              <w:rPr>
                <w:rFonts w:asciiTheme="minorHAnsi" w:hAnsiTheme="minorHAnsi"/>
                <w:b/>
                <w:sz w:val="20"/>
                <w:szCs w:val="20"/>
              </w:rPr>
              <w:t>Social Rented Sector Waiting Lists and Allocations 2002-03 to</w:t>
            </w:r>
            <w:r w:rsidR="00EA25BE">
              <w:rPr>
                <w:rFonts w:asciiTheme="minorHAnsi" w:hAnsiTheme="minorHAnsi"/>
                <w:b/>
                <w:color w:val="00B050"/>
                <w:sz w:val="20"/>
                <w:szCs w:val="20"/>
              </w:rPr>
              <w:t xml:space="preserve"> 2019-20</w:t>
            </w:r>
            <w:r w:rsidR="002F4E1D">
              <w:rPr>
                <w:rFonts w:asciiTheme="minorHAnsi" w:hAnsiTheme="minorHAnsi"/>
                <w:b/>
                <w:color w:val="00B050"/>
                <w:sz w:val="20"/>
                <w:szCs w:val="20"/>
              </w:rPr>
              <w:t xml:space="preserve"> </w:t>
            </w:r>
            <w:r w:rsidR="002F4E1D">
              <w:rPr>
                <w:rFonts w:asciiTheme="minorHAnsi" w:hAnsiTheme="minorHAnsi"/>
                <w:b/>
                <w:sz w:val="20"/>
                <w:szCs w:val="20"/>
                <w:vertAlign w:val="superscript"/>
              </w:rPr>
              <w:t>1,2,3,4,5,6,7,8</w:t>
            </w:r>
          </w:p>
          <w:tbl>
            <w:tblPr>
              <w:tblpPr w:leftFromText="180" w:rightFromText="180" w:bottomFromText="200" w:vertAnchor="text" w:tblpY="1"/>
              <w:tblOverlap w:val="never"/>
              <w:tblW w:w="3740" w:type="dxa"/>
              <w:tblLook w:val="04A0" w:firstRow="1" w:lastRow="0" w:firstColumn="1" w:lastColumn="0" w:noHBand="0" w:noVBand="1"/>
            </w:tblPr>
            <w:tblGrid>
              <w:gridCol w:w="960"/>
              <w:gridCol w:w="1180"/>
              <w:gridCol w:w="1600"/>
            </w:tblGrid>
            <w:tr w:rsidR="002F4E1D" w:rsidTr="002F4E1D">
              <w:trPr>
                <w:trHeight w:val="255"/>
              </w:trPr>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2F4E1D" w:rsidRDefault="002F4E1D" w:rsidP="002F4E1D">
                  <w:pPr>
                    <w:spacing w:line="276" w:lineRule="auto"/>
                    <w:jc w:val="center"/>
                    <w:rPr>
                      <w:rFonts w:asciiTheme="minorHAnsi" w:hAnsiTheme="minorHAnsi" w:cs="Arial"/>
                      <w:b/>
                      <w:sz w:val="20"/>
                      <w:szCs w:val="20"/>
                      <w:lang w:eastAsia="en-GB"/>
                    </w:rPr>
                  </w:pPr>
                  <w:r>
                    <w:rPr>
                      <w:rFonts w:asciiTheme="minorHAnsi" w:hAnsiTheme="minorHAnsi" w:cs="Arial"/>
                      <w:b/>
                      <w:sz w:val="20"/>
                      <w:szCs w:val="20"/>
                      <w:lang w:eastAsia="en-GB"/>
                    </w:rPr>
                    <w:t>Year</w:t>
                  </w:r>
                </w:p>
              </w:tc>
              <w:tc>
                <w:tcPr>
                  <w:tcW w:w="2780" w:type="dxa"/>
                  <w:gridSpan w:val="2"/>
                  <w:tcBorders>
                    <w:top w:val="single" w:sz="4" w:space="0" w:color="auto"/>
                    <w:left w:val="nil"/>
                    <w:bottom w:val="single" w:sz="4" w:space="0" w:color="auto"/>
                    <w:right w:val="single" w:sz="4" w:space="0" w:color="auto"/>
                  </w:tcBorders>
                  <w:vAlign w:val="center"/>
                  <w:hideMark/>
                </w:tcPr>
                <w:p w:rsidR="002F4E1D" w:rsidRDefault="002F4E1D" w:rsidP="002F4E1D">
                  <w:pPr>
                    <w:spacing w:line="276" w:lineRule="auto"/>
                    <w:jc w:val="center"/>
                    <w:rPr>
                      <w:rFonts w:asciiTheme="minorHAnsi" w:hAnsiTheme="minorHAnsi" w:cs="Arial"/>
                      <w:b/>
                      <w:sz w:val="20"/>
                      <w:szCs w:val="20"/>
                      <w:lang w:eastAsia="en-GB"/>
                    </w:rPr>
                  </w:pPr>
                  <w:r>
                    <w:rPr>
                      <w:rFonts w:asciiTheme="minorHAnsi" w:hAnsiTheme="minorHAnsi" w:cs="Arial"/>
                      <w:b/>
                      <w:sz w:val="20"/>
                      <w:szCs w:val="20"/>
                      <w:lang w:eastAsia="en-GB"/>
                    </w:rPr>
                    <w:t>Common Waiting List at 31 March</w:t>
                  </w:r>
                </w:p>
              </w:tc>
            </w:tr>
            <w:tr w:rsidR="002F4E1D" w:rsidTr="002F4E1D">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4E1D" w:rsidRDefault="002F4E1D" w:rsidP="002F4E1D">
                  <w:pPr>
                    <w:spacing w:line="276" w:lineRule="auto"/>
                    <w:rPr>
                      <w:rFonts w:asciiTheme="minorHAnsi" w:hAnsiTheme="minorHAnsi" w:cs="Arial"/>
                      <w:b/>
                      <w:sz w:val="20"/>
                      <w:szCs w:val="20"/>
                      <w:lang w:eastAsia="en-GB"/>
                    </w:rPr>
                  </w:pPr>
                </w:p>
              </w:tc>
              <w:tc>
                <w:tcPr>
                  <w:tcW w:w="1180" w:type="dxa"/>
                  <w:vMerge w:val="restart"/>
                  <w:tcBorders>
                    <w:top w:val="nil"/>
                    <w:left w:val="single" w:sz="4" w:space="0" w:color="auto"/>
                    <w:bottom w:val="single" w:sz="4" w:space="0" w:color="auto"/>
                    <w:right w:val="single" w:sz="4" w:space="0" w:color="auto"/>
                  </w:tcBorders>
                  <w:vAlign w:val="center"/>
                  <w:hideMark/>
                </w:tcPr>
                <w:p w:rsidR="002F4E1D" w:rsidRDefault="002F4E1D" w:rsidP="002F4E1D">
                  <w:pPr>
                    <w:spacing w:line="276" w:lineRule="auto"/>
                    <w:jc w:val="center"/>
                    <w:rPr>
                      <w:rFonts w:asciiTheme="minorHAnsi" w:hAnsiTheme="minorHAnsi" w:cs="Arial"/>
                      <w:b/>
                      <w:sz w:val="20"/>
                      <w:szCs w:val="20"/>
                      <w:lang w:eastAsia="en-GB"/>
                    </w:rPr>
                  </w:pPr>
                  <w:r>
                    <w:rPr>
                      <w:rFonts w:asciiTheme="minorHAnsi" w:hAnsiTheme="minorHAnsi" w:cs="Arial"/>
                      <w:b/>
                      <w:sz w:val="20"/>
                      <w:szCs w:val="20"/>
                      <w:lang w:eastAsia="en-GB"/>
                    </w:rPr>
                    <w:t>Total Applicants</w:t>
                  </w:r>
                </w:p>
              </w:tc>
              <w:tc>
                <w:tcPr>
                  <w:tcW w:w="1600" w:type="dxa"/>
                  <w:vMerge w:val="restart"/>
                  <w:tcBorders>
                    <w:top w:val="nil"/>
                    <w:left w:val="single" w:sz="4" w:space="0" w:color="auto"/>
                    <w:bottom w:val="single" w:sz="4" w:space="0" w:color="auto"/>
                    <w:right w:val="single" w:sz="4" w:space="0" w:color="auto"/>
                  </w:tcBorders>
                  <w:vAlign w:val="center"/>
                  <w:hideMark/>
                </w:tcPr>
                <w:p w:rsidR="002F4E1D" w:rsidRDefault="002F4E1D" w:rsidP="002F4E1D">
                  <w:pPr>
                    <w:spacing w:line="276" w:lineRule="auto"/>
                    <w:jc w:val="center"/>
                    <w:rPr>
                      <w:rFonts w:asciiTheme="minorHAnsi" w:hAnsiTheme="minorHAnsi" w:cs="Arial"/>
                      <w:b/>
                      <w:sz w:val="20"/>
                      <w:szCs w:val="20"/>
                      <w:lang w:eastAsia="en-GB"/>
                    </w:rPr>
                  </w:pPr>
                  <w:r>
                    <w:rPr>
                      <w:rFonts w:asciiTheme="minorHAnsi" w:hAnsiTheme="minorHAnsi" w:cs="Arial"/>
                      <w:b/>
                      <w:sz w:val="20"/>
                      <w:szCs w:val="20"/>
                      <w:lang w:eastAsia="en-GB"/>
                    </w:rPr>
                    <w:t>Number of Applicants in Housing Stress</w:t>
                  </w:r>
                </w:p>
              </w:tc>
            </w:tr>
            <w:tr w:rsidR="002F4E1D" w:rsidTr="002F4E1D">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4E1D" w:rsidRDefault="002F4E1D" w:rsidP="002F4E1D">
                  <w:pPr>
                    <w:spacing w:line="276" w:lineRule="auto"/>
                    <w:rPr>
                      <w:rFonts w:asciiTheme="minorHAnsi" w:hAnsiTheme="minorHAnsi" w:cs="Arial"/>
                      <w:b/>
                      <w:sz w:val="20"/>
                      <w:szCs w:val="20"/>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2F4E1D" w:rsidRDefault="002F4E1D" w:rsidP="002F4E1D">
                  <w:pPr>
                    <w:spacing w:line="276" w:lineRule="auto"/>
                    <w:rPr>
                      <w:rFonts w:asciiTheme="minorHAnsi" w:hAnsiTheme="minorHAnsi" w:cs="Arial"/>
                      <w:b/>
                      <w:sz w:val="20"/>
                      <w:szCs w:val="20"/>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2F4E1D" w:rsidRDefault="002F4E1D" w:rsidP="002F4E1D">
                  <w:pPr>
                    <w:spacing w:line="276" w:lineRule="auto"/>
                    <w:rPr>
                      <w:rFonts w:asciiTheme="minorHAnsi" w:hAnsiTheme="minorHAnsi" w:cs="Arial"/>
                      <w:b/>
                      <w:sz w:val="20"/>
                      <w:szCs w:val="20"/>
                      <w:lang w:eastAsia="en-GB"/>
                    </w:rPr>
                  </w:pPr>
                </w:p>
              </w:tc>
            </w:tr>
            <w:tr w:rsidR="002F4E1D" w:rsidTr="002F4E1D">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4E1D" w:rsidRDefault="002F4E1D" w:rsidP="002F4E1D">
                  <w:pPr>
                    <w:spacing w:line="276" w:lineRule="auto"/>
                    <w:rPr>
                      <w:rFonts w:asciiTheme="minorHAnsi" w:hAnsiTheme="minorHAnsi" w:cs="Arial"/>
                      <w:b/>
                      <w:sz w:val="20"/>
                      <w:szCs w:val="20"/>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2F4E1D" w:rsidRDefault="002F4E1D" w:rsidP="002F4E1D">
                  <w:pPr>
                    <w:spacing w:line="276" w:lineRule="auto"/>
                    <w:rPr>
                      <w:rFonts w:asciiTheme="minorHAnsi" w:hAnsiTheme="minorHAnsi" w:cs="Arial"/>
                      <w:b/>
                      <w:sz w:val="20"/>
                      <w:szCs w:val="20"/>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2F4E1D" w:rsidRDefault="002F4E1D" w:rsidP="002F4E1D">
                  <w:pPr>
                    <w:spacing w:line="276" w:lineRule="auto"/>
                    <w:rPr>
                      <w:rFonts w:asciiTheme="minorHAnsi" w:hAnsiTheme="minorHAnsi" w:cs="Arial"/>
                      <w:b/>
                      <w:sz w:val="20"/>
                      <w:szCs w:val="20"/>
                      <w:lang w:eastAsia="en-GB"/>
                    </w:rPr>
                  </w:pPr>
                </w:p>
              </w:tc>
            </w:tr>
            <w:tr w:rsidR="002F4E1D" w:rsidTr="004C4AD7">
              <w:trPr>
                <w:trHeight w:val="255"/>
              </w:trPr>
              <w:tc>
                <w:tcPr>
                  <w:tcW w:w="960" w:type="dxa"/>
                  <w:tcBorders>
                    <w:top w:val="nil"/>
                    <w:left w:val="single" w:sz="4" w:space="0" w:color="auto"/>
                    <w:bottom w:val="single" w:sz="4" w:space="0" w:color="auto"/>
                    <w:right w:val="single" w:sz="4" w:space="0" w:color="auto"/>
                  </w:tcBorders>
                  <w:noWrap/>
                  <w:vAlign w:val="center"/>
                  <w:hideMark/>
                </w:tcPr>
                <w:p w:rsidR="002F4E1D" w:rsidRDefault="002F4E1D" w:rsidP="002F4E1D">
                  <w:pPr>
                    <w:spacing w:line="276" w:lineRule="auto"/>
                    <w:jc w:val="center"/>
                    <w:rPr>
                      <w:rFonts w:asciiTheme="minorHAnsi" w:hAnsiTheme="minorHAnsi" w:cs="Arial"/>
                      <w:b/>
                      <w:sz w:val="20"/>
                      <w:szCs w:val="20"/>
                      <w:lang w:eastAsia="en-GB"/>
                    </w:rPr>
                  </w:pPr>
                  <w:r>
                    <w:rPr>
                      <w:rFonts w:asciiTheme="minorHAnsi" w:hAnsiTheme="minorHAnsi" w:cs="Arial"/>
                      <w:b/>
                      <w:sz w:val="20"/>
                      <w:szCs w:val="20"/>
                      <w:lang w:eastAsia="en-GB"/>
                    </w:rPr>
                    <w:t>2002-03</w:t>
                  </w:r>
                </w:p>
              </w:tc>
              <w:tc>
                <w:tcPr>
                  <w:tcW w:w="1180" w:type="dxa"/>
                  <w:tcBorders>
                    <w:top w:val="nil"/>
                    <w:left w:val="nil"/>
                    <w:bottom w:val="single" w:sz="4" w:space="0" w:color="auto"/>
                    <w:right w:val="single" w:sz="4" w:space="0" w:color="auto"/>
                  </w:tcBorders>
                  <w:noWrap/>
                  <w:vAlign w:val="bottom"/>
                  <w:hideMark/>
                </w:tcPr>
                <w:p w:rsidR="002F4E1D" w:rsidRDefault="002F4E1D" w:rsidP="002F4E1D">
                  <w:pPr>
                    <w:jc w:val="right"/>
                    <w:rPr>
                      <w:rFonts w:ascii="Arial" w:hAnsi="Arial" w:cs="Arial"/>
                      <w:sz w:val="20"/>
                      <w:szCs w:val="20"/>
                    </w:rPr>
                  </w:pPr>
                  <w:r>
                    <w:rPr>
                      <w:rFonts w:ascii="Arial" w:hAnsi="Arial" w:cs="Arial"/>
                      <w:sz w:val="20"/>
                      <w:szCs w:val="20"/>
                    </w:rPr>
                    <w:t>26,248</w:t>
                  </w:r>
                </w:p>
              </w:tc>
              <w:tc>
                <w:tcPr>
                  <w:tcW w:w="1600" w:type="dxa"/>
                  <w:tcBorders>
                    <w:top w:val="nil"/>
                    <w:left w:val="nil"/>
                    <w:bottom w:val="single" w:sz="4" w:space="0" w:color="auto"/>
                    <w:right w:val="single" w:sz="4" w:space="0" w:color="auto"/>
                  </w:tcBorders>
                  <w:noWrap/>
                  <w:vAlign w:val="bottom"/>
                  <w:hideMark/>
                </w:tcPr>
                <w:p w:rsidR="002F4E1D" w:rsidRDefault="002F4E1D" w:rsidP="002F4E1D">
                  <w:pPr>
                    <w:jc w:val="right"/>
                    <w:rPr>
                      <w:rFonts w:ascii="Arial" w:hAnsi="Arial" w:cs="Arial"/>
                      <w:sz w:val="20"/>
                      <w:szCs w:val="20"/>
                    </w:rPr>
                  </w:pPr>
                  <w:r>
                    <w:rPr>
                      <w:rFonts w:ascii="Arial" w:hAnsi="Arial" w:cs="Arial"/>
                      <w:sz w:val="20"/>
                      <w:szCs w:val="20"/>
                    </w:rPr>
                    <w:t>13,042</w:t>
                  </w:r>
                </w:p>
              </w:tc>
            </w:tr>
            <w:tr w:rsidR="002F4E1D" w:rsidTr="004C4AD7">
              <w:trPr>
                <w:trHeight w:val="255"/>
              </w:trPr>
              <w:tc>
                <w:tcPr>
                  <w:tcW w:w="960" w:type="dxa"/>
                  <w:tcBorders>
                    <w:top w:val="nil"/>
                    <w:left w:val="single" w:sz="4" w:space="0" w:color="auto"/>
                    <w:bottom w:val="single" w:sz="4" w:space="0" w:color="auto"/>
                    <w:right w:val="single" w:sz="4" w:space="0" w:color="auto"/>
                  </w:tcBorders>
                  <w:noWrap/>
                  <w:vAlign w:val="center"/>
                  <w:hideMark/>
                </w:tcPr>
                <w:p w:rsidR="002F4E1D" w:rsidRDefault="002F4E1D" w:rsidP="002F4E1D">
                  <w:pPr>
                    <w:spacing w:line="276" w:lineRule="auto"/>
                    <w:jc w:val="center"/>
                    <w:rPr>
                      <w:rFonts w:asciiTheme="minorHAnsi" w:hAnsiTheme="minorHAnsi" w:cs="Arial"/>
                      <w:b/>
                      <w:sz w:val="20"/>
                      <w:szCs w:val="20"/>
                      <w:lang w:eastAsia="en-GB"/>
                    </w:rPr>
                  </w:pPr>
                  <w:r>
                    <w:rPr>
                      <w:rFonts w:asciiTheme="minorHAnsi" w:hAnsiTheme="minorHAnsi" w:cs="Arial"/>
                      <w:b/>
                      <w:sz w:val="20"/>
                      <w:szCs w:val="20"/>
                      <w:lang w:eastAsia="en-GB"/>
                    </w:rPr>
                    <w:t>2003-04</w:t>
                  </w:r>
                </w:p>
              </w:tc>
              <w:tc>
                <w:tcPr>
                  <w:tcW w:w="1180" w:type="dxa"/>
                  <w:tcBorders>
                    <w:top w:val="nil"/>
                    <w:left w:val="nil"/>
                    <w:bottom w:val="single" w:sz="4" w:space="0" w:color="auto"/>
                    <w:right w:val="single" w:sz="4" w:space="0" w:color="auto"/>
                  </w:tcBorders>
                  <w:noWrap/>
                  <w:vAlign w:val="bottom"/>
                  <w:hideMark/>
                </w:tcPr>
                <w:p w:rsidR="002F4E1D" w:rsidRDefault="002F4E1D" w:rsidP="002F4E1D">
                  <w:pPr>
                    <w:jc w:val="right"/>
                    <w:rPr>
                      <w:rFonts w:ascii="Arial" w:hAnsi="Arial" w:cs="Arial"/>
                      <w:sz w:val="20"/>
                      <w:szCs w:val="20"/>
                    </w:rPr>
                  </w:pPr>
                  <w:r>
                    <w:rPr>
                      <w:rFonts w:ascii="Arial" w:hAnsi="Arial" w:cs="Arial"/>
                      <w:sz w:val="20"/>
                      <w:szCs w:val="20"/>
                    </w:rPr>
                    <w:t>27,515</w:t>
                  </w:r>
                </w:p>
              </w:tc>
              <w:tc>
                <w:tcPr>
                  <w:tcW w:w="1600" w:type="dxa"/>
                  <w:tcBorders>
                    <w:top w:val="nil"/>
                    <w:left w:val="nil"/>
                    <w:bottom w:val="single" w:sz="4" w:space="0" w:color="auto"/>
                    <w:right w:val="single" w:sz="4" w:space="0" w:color="auto"/>
                  </w:tcBorders>
                  <w:noWrap/>
                  <w:vAlign w:val="bottom"/>
                  <w:hideMark/>
                </w:tcPr>
                <w:p w:rsidR="002F4E1D" w:rsidRDefault="002F4E1D" w:rsidP="002F4E1D">
                  <w:pPr>
                    <w:jc w:val="right"/>
                    <w:rPr>
                      <w:rFonts w:ascii="Arial" w:hAnsi="Arial" w:cs="Arial"/>
                      <w:sz w:val="20"/>
                      <w:szCs w:val="20"/>
                    </w:rPr>
                  </w:pPr>
                  <w:r>
                    <w:rPr>
                      <w:rFonts w:ascii="Arial" w:hAnsi="Arial" w:cs="Arial"/>
                      <w:sz w:val="20"/>
                      <w:szCs w:val="20"/>
                    </w:rPr>
                    <w:t>14,152</w:t>
                  </w:r>
                </w:p>
              </w:tc>
            </w:tr>
            <w:tr w:rsidR="002F4E1D" w:rsidTr="004C4AD7">
              <w:trPr>
                <w:trHeight w:val="255"/>
              </w:trPr>
              <w:tc>
                <w:tcPr>
                  <w:tcW w:w="960" w:type="dxa"/>
                  <w:tcBorders>
                    <w:top w:val="nil"/>
                    <w:left w:val="single" w:sz="4" w:space="0" w:color="auto"/>
                    <w:bottom w:val="single" w:sz="4" w:space="0" w:color="auto"/>
                    <w:right w:val="single" w:sz="4" w:space="0" w:color="auto"/>
                  </w:tcBorders>
                  <w:noWrap/>
                  <w:vAlign w:val="center"/>
                  <w:hideMark/>
                </w:tcPr>
                <w:p w:rsidR="002F4E1D" w:rsidRDefault="002F4E1D" w:rsidP="002F4E1D">
                  <w:pPr>
                    <w:spacing w:line="276" w:lineRule="auto"/>
                    <w:jc w:val="center"/>
                    <w:rPr>
                      <w:rFonts w:asciiTheme="minorHAnsi" w:hAnsiTheme="minorHAnsi" w:cs="Arial"/>
                      <w:b/>
                      <w:sz w:val="20"/>
                      <w:szCs w:val="20"/>
                      <w:lang w:eastAsia="en-GB"/>
                    </w:rPr>
                  </w:pPr>
                  <w:r>
                    <w:rPr>
                      <w:rFonts w:asciiTheme="minorHAnsi" w:hAnsiTheme="minorHAnsi" w:cs="Arial"/>
                      <w:b/>
                      <w:sz w:val="20"/>
                      <w:szCs w:val="20"/>
                      <w:lang w:eastAsia="en-GB"/>
                    </w:rPr>
                    <w:t>2004-05</w:t>
                  </w:r>
                </w:p>
              </w:tc>
              <w:tc>
                <w:tcPr>
                  <w:tcW w:w="1180" w:type="dxa"/>
                  <w:tcBorders>
                    <w:top w:val="nil"/>
                    <w:left w:val="nil"/>
                    <w:bottom w:val="single" w:sz="4" w:space="0" w:color="auto"/>
                    <w:right w:val="single" w:sz="4" w:space="0" w:color="auto"/>
                  </w:tcBorders>
                  <w:noWrap/>
                  <w:vAlign w:val="bottom"/>
                  <w:hideMark/>
                </w:tcPr>
                <w:p w:rsidR="002F4E1D" w:rsidRDefault="002F4E1D" w:rsidP="002F4E1D">
                  <w:pPr>
                    <w:jc w:val="right"/>
                    <w:rPr>
                      <w:rFonts w:ascii="Arial" w:hAnsi="Arial" w:cs="Arial"/>
                      <w:sz w:val="20"/>
                      <w:szCs w:val="20"/>
                    </w:rPr>
                  </w:pPr>
                  <w:r>
                    <w:rPr>
                      <w:rFonts w:ascii="Arial" w:hAnsi="Arial" w:cs="Arial"/>
                      <w:sz w:val="20"/>
                      <w:szCs w:val="20"/>
                    </w:rPr>
                    <w:t>29,608</w:t>
                  </w:r>
                </w:p>
              </w:tc>
              <w:tc>
                <w:tcPr>
                  <w:tcW w:w="1600" w:type="dxa"/>
                  <w:tcBorders>
                    <w:top w:val="nil"/>
                    <w:left w:val="nil"/>
                    <w:bottom w:val="single" w:sz="4" w:space="0" w:color="auto"/>
                    <w:right w:val="single" w:sz="4" w:space="0" w:color="auto"/>
                  </w:tcBorders>
                  <w:noWrap/>
                  <w:vAlign w:val="bottom"/>
                  <w:hideMark/>
                </w:tcPr>
                <w:p w:rsidR="002F4E1D" w:rsidRDefault="002F4E1D" w:rsidP="002F4E1D">
                  <w:pPr>
                    <w:jc w:val="right"/>
                    <w:rPr>
                      <w:rFonts w:ascii="Arial" w:hAnsi="Arial" w:cs="Arial"/>
                      <w:sz w:val="20"/>
                      <w:szCs w:val="20"/>
                    </w:rPr>
                  </w:pPr>
                  <w:r>
                    <w:rPr>
                      <w:rFonts w:ascii="Arial" w:hAnsi="Arial" w:cs="Arial"/>
                      <w:sz w:val="20"/>
                      <w:szCs w:val="20"/>
                    </w:rPr>
                    <w:t>15,527</w:t>
                  </w:r>
                </w:p>
              </w:tc>
            </w:tr>
            <w:tr w:rsidR="002F4E1D" w:rsidTr="004C4AD7">
              <w:trPr>
                <w:trHeight w:val="255"/>
              </w:trPr>
              <w:tc>
                <w:tcPr>
                  <w:tcW w:w="960" w:type="dxa"/>
                  <w:tcBorders>
                    <w:top w:val="nil"/>
                    <w:left w:val="single" w:sz="4" w:space="0" w:color="auto"/>
                    <w:bottom w:val="single" w:sz="4" w:space="0" w:color="auto"/>
                    <w:right w:val="single" w:sz="4" w:space="0" w:color="auto"/>
                  </w:tcBorders>
                  <w:noWrap/>
                  <w:vAlign w:val="center"/>
                  <w:hideMark/>
                </w:tcPr>
                <w:p w:rsidR="002F4E1D" w:rsidRDefault="002F4E1D" w:rsidP="002F4E1D">
                  <w:pPr>
                    <w:spacing w:line="276" w:lineRule="auto"/>
                    <w:jc w:val="center"/>
                    <w:rPr>
                      <w:rFonts w:asciiTheme="minorHAnsi" w:hAnsiTheme="minorHAnsi" w:cs="Arial"/>
                      <w:b/>
                      <w:sz w:val="20"/>
                      <w:szCs w:val="20"/>
                      <w:lang w:eastAsia="en-GB"/>
                    </w:rPr>
                  </w:pPr>
                  <w:r>
                    <w:rPr>
                      <w:rFonts w:asciiTheme="minorHAnsi" w:hAnsiTheme="minorHAnsi" w:cs="Arial"/>
                      <w:b/>
                      <w:sz w:val="20"/>
                      <w:szCs w:val="20"/>
                      <w:lang w:eastAsia="en-GB"/>
                    </w:rPr>
                    <w:t>2005-06</w:t>
                  </w:r>
                </w:p>
              </w:tc>
              <w:tc>
                <w:tcPr>
                  <w:tcW w:w="1180" w:type="dxa"/>
                  <w:tcBorders>
                    <w:top w:val="nil"/>
                    <w:left w:val="nil"/>
                    <w:bottom w:val="single" w:sz="4" w:space="0" w:color="auto"/>
                    <w:right w:val="single" w:sz="4" w:space="0" w:color="auto"/>
                  </w:tcBorders>
                  <w:noWrap/>
                  <w:vAlign w:val="bottom"/>
                  <w:hideMark/>
                </w:tcPr>
                <w:p w:rsidR="002F4E1D" w:rsidRDefault="002F4E1D" w:rsidP="002F4E1D">
                  <w:pPr>
                    <w:jc w:val="right"/>
                    <w:rPr>
                      <w:rFonts w:ascii="Arial" w:hAnsi="Arial" w:cs="Arial"/>
                      <w:sz w:val="20"/>
                      <w:szCs w:val="20"/>
                    </w:rPr>
                  </w:pPr>
                  <w:r>
                    <w:rPr>
                      <w:rFonts w:ascii="Arial" w:hAnsi="Arial" w:cs="Arial"/>
                      <w:sz w:val="20"/>
                      <w:szCs w:val="20"/>
                    </w:rPr>
                    <w:t>31,908</w:t>
                  </w:r>
                </w:p>
              </w:tc>
              <w:tc>
                <w:tcPr>
                  <w:tcW w:w="1600" w:type="dxa"/>
                  <w:tcBorders>
                    <w:top w:val="nil"/>
                    <w:left w:val="nil"/>
                    <w:bottom w:val="single" w:sz="4" w:space="0" w:color="auto"/>
                    <w:right w:val="single" w:sz="4" w:space="0" w:color="auto"/>
                  </w:tcBorders>
                  <w:noWrap/>
                  <w:vAlign w:val="bottom"/>
                  <w:hideMark/>
                </w:tcPr>
                <w:p w:rsidR="002F4E1D" w:rsidRDefault="002F4E1D" w:rsidP="002F4E1D">
                  <w:pPr>
                    <w:jc w:val="right"/>
                    <w:rPr>
                      <w:rFonts w:ascii="Arial" w:hAnsi="Arial" w:cs="Arial"/>
                      <w:sz w:val="20"/>
                      <w:szCs w:val="20"/>
                    </w:rPr>
                  </w:pPr>
                  <w:r>
                    <w:rPr>
                      <w:rFonts w:ascii="Arial" w:hAnsi="Arial" w:cs="Arial"/>
                      <w:sz w:val="20"/>
                      <w:szCs w:val="20"/>
                    </w:rPr>
                    <w:t>17,223</w:t>
                  </w:r>
                </w:p>
              </w:tc>
            </w:tr>
            <w:tr w:rsidR="002F4E1D" w:rsidTr="004C4AD7">
              <w:trPr>
                <w:trHeight w:val="255"/>
              </w:trPr>
              <w:tc>
                <w:tcPr>
                  <w:tcW w:w="960" w:type="dxa"/>
                  <w:tcBorders>
                    <w:top w:val="nil"/>
                    <w:left w:val="single" w:sz="4" w:space="0" w:color="auto"/>
                    <w:bottom w:val="single" w:sz="4" w:space="0" w:color="auto"/>
                    <w:right w:val="single" w:sz="4" w:space="0" w:color="auto"/>
                  </w:tcBorders>
                  <w:noWrap/>
                  <w:vAlign w:val="center"/>
                  <w:hideMark/>
                </w:tcPr>
                <w:p w:rsidR="002F4E1D" w:rsidRDefault="002F4E1D" w:rsidP="002F4E1D">
                  <w:pPr>
                    <w:spacing w:line="276" w:lineRule="auto"/>
                    <w:jc w:val="center"/>
                    <w:rPr>
                      <w:rFonts w:asciiTheme="minorHAnsi" w:hAnsiTheme="minorHAnsi" w:cs="Arial"/>
                      <w:b/>
                      <w:sz w:val="20"/>
                      <w:szCs w:val="20"/>
                      <w:lang w:eastAsia="en-GB"/>
                    </w:rPr>
                  </w:pPr>
                  <w:r>
                    <w:rPr>
                      <w:rFonts w:asciiTheme="minorHAnsi" w:hAnsiTheme="minorHAnsi" w:cs="Arial"/>
                      <w:b/>
                      <w:sz w:val="20"/>
                      <w:szCs w:val="20"/>
                      <w:lang w:eastAsia="en-GB"/>
                    </w:rPr>
                    <w:t>2006-07</w:t>
                  </w:r>
                </w:p>
              </w:tc>
              <w:tc>
                <w:tcPr>
                  <w:tcW w:w="1180" w:type="dxa"/>
                  <w:tcBorders>
                    <w:top w:val="nil"/>
                    <w:left w:val="nil"/>
                    <w:bottom w:val="single" w:sz="4" w:space="0" w:color="auto"/>
                    <w:right w:val="single" w:sz="4" w:space="0" w:color="auto"/>
                  </w:tcBorders>
                  <w:noWrap/>
                  <w:vAlign w:val="bottom"/>
                  <w:hideMark/>
                </w:tcPr>
                <w:p w:rsidR="002F4E1D" w:rsidRDefault="002F4E1D" w:rsidP="002F4E1D">
                  <w:pPr>
                    <w:jc w:val="right"/>
                    <w:rPr>
                      <w:rFonts w:ascii="Arial" w:hAnsi="Arial" w:cs="Arial"/>
                      <w:sz w:val="20"/>
                      <w:szCs w:val="20"/>
                    </w:rPr>
                  </w:pPr>
                  <w:r>
                    <w:rPr>
                      <w:rFonts w:ascii="Arial" w:hAnsi="Arial" w:cs="Arial"/>
                      <w:sz w:val="20"/>
                      <w:szCs w:val="20"/>
                    </w:rPr>
                    <w:t>36,182</w:t>
                  </w:r>
                </w:p>
              </w:tc>
              <w:tc>
                <w:tcPr>
                  <w:tcW w:w="1600" w:type="dxa"/>
                  <w:tcBorders>
                    <w:top w:val="nil"/>
                    <w:left w:val="nil"/>
                    <w:bottom w:val="single" w:sz="4" w:space="0" w:color="auto"/>
                    <w:right w:val="single" w:sz="4" w:space="0" w:color="auto"/>
                  </w:tcBorders>
                  <w:noWrap/>
                  <w:vAlign w:val="bottom"/>
                  <w:hideMark/>
                </w:tcPr>
                <w:p w:rsidR="002F4E1D" w:rsidRDefault="002F4E1D" w:rsidP="002F4E1D">
                  <w:pPr>
                    <w:jc w:val="right"/>
                    <w:rPr>
                      <w:rFonts w:ascii="Arial" w:hAnsi="Arial" w:cs="Arial"/>
                      <w:sz w:val="20"/>
                      <w:szCs w:val="20"/>
                    </w:rPr>
                  </w:pPr>
                  <w:r>
                    <w:rPr>
                      <w:rFonts w:ascii="Arial" w:hAnsi="Arial" w:cs="Arial"/>
                      <w:sz w:val="20"/>
                      <w:szCs w:val="20"/>
                    </w:rPr>
                    <w:t>19,703</w:t>
                  </w:r>
                </w:p>
              </w:tc>
            </w:tr>
            <w:tr w:rsidR="002F4E1D" w:rsidTr="004C4AD7">
              <w:trPr>
                <w:trHeight w:val="255"/>
              </w:trPr>
              <w:tc>
                <w:tcPr>
                  <w:tcW w:w="960" w:type="dxa"/>
                  <w:tcBorders>
                    <w:top w:val="nil"/>
                    <w:left w:val="single" w:sz="4" w:space="0" w:color="auto"/>
                    <w:bottom w:val="single" w:sz="4" w:space="0" w:color="auto"/>
                    <w:right w:val="single" w:sz="4" w:space="0" w:color="auto"/>
                  </w:tcBorders>
                  <w:noWrap/>
                  <w:vAlign w:val="center"/>
                  <w:hideMark/>
                </w:tcPr>
                <w:p w:rsidR="002F4E1D" w:rsidRDefault="002F4E1D" w:rsidP="002F4E1D">
                  <w:pPr>
                    <w:spacing w:line="276" w:lineRule="auto"/>
                    <w:jc w:val="center"/>
                    <w:rPr>
                      <w:rFonts w:asciiTheme="minorHAnsi" w:hAnsiTheme="minorHAnsi" w:cs="Arial"/>
                      <w:b/>
                      <w:sz w:val="20"/>
                      <w:szCs w:val="20"/>
                      <w:lang w:eastAsia="en-GB"/>
                    </w:rPr>
                  </w:pPr>
                  <w:r>
                    <w:rPr>
                      <w:rFonts w:asciiTheme="minorHAnsi" w:hAnsiTheme="minorHAnsi" w:cs="Arial"/>
                      <w:b/>
                      <w:sz w:val="20"/>
                      <w:szCs w:val="20"/>
                      <w:lang w:eastAsia="en-GB"/>
                    </w:rPr>
                    <w:t>2007-08</w:t>
                  </w:r>
                </w:p>
              </w:tc>
              <w:tc>
                <w:tcPr>
                  <w:tcW w:w="1180" w:type="dxa"/>
                  <w:tcBorders>
                    <w:top w:val="nil"/>
                    <w:left w:val="nil"/>
                    <w:bottom w:val="single" w:sz="4" w:space="0" w:color="auto"/>
                    <w:right w:val="single" w:sz="4" w:space="0" w:color="auto"/>
                  </w:tcBorders>
                  <w:noWrap/>
                  <w:vAlign w:val="bottom"/>
                  <w:hideMark/>
                </w:tcPr>
                <w:p w:rsidR="002F4E1D" w:rsidRDefault="002F4E1D" w:rsidP="002F4E1D">
                  <w:pPr>
                    <w:jc w:val="right"/>
                    <w:rPr>
                      <w:rFonts w:ascii="Arial" w:hAnsi="Arial" w:cs="Arial"/>
                      <w:sz w:val="20"/>
                      <w:szCs w:val="20"/>
                    </w:rPr>
                  </w:pPr>
                  <w:r>
                    <w:rPr>
                      <w:rFonts w:ascii="Arial" w:hAnsi="Arial" w:cs="Arial"/>
                      <w:sz w:val="20"/>
                      <w:szCs w:val="20"/>
                    </w:rPr>
                    <w:t>39,688</w:t>
                  </w:r>
                </w:p>
              </w:tc>
              <w:tc>
                <w:tcPr>
                  <w:tcW w:w="1600" w:type="dxa"/>
                  <w:tcBorders>
                    <w:top w:val="nil"/>
                    <w:left w:val="nil"/>
                    <w:bottom w:val="single" w:sz="4" w:space="0" w:color="auto"/>
                    <w:right w:val="single" w:sz="4" w:space="0" w:color="auto"/>
                  </w:tcBorders>
                  <w:noWrap/>
                  <w:vAlign w:val="bottom"/>
                  <w:hideMark/>
                </w:tcPr>
                <w:p w:rsidR="002F4E1D" w:rsidRDefault="002F4E1D" w:rsidP="002F4E1D">
                  <w:pPr>
                    <w:jc w:val="right"/>
                    <w:rPr>
                      <w:rFonts w:ascii="Arial" w:hAnsi="Arial" w:cs="Arial"/>
                      <w:sz w:val="20"/>
                      <w:szCs w:val="20"/>
                    </w:rPr>
                  </w:pPr>
                  <w:r>
                    <w:rPr>
                      <w:rFonts w:ascii="Arial" w:hAnsi="Arial" w:cs="Arial"/>
                      <w:sz w:val="20"/>
                      <w:szCs w:val="20"/>
                    </w:rPr>
                    <w:t>21,364</w:t>
                  </w:r>
                </w:p>
              </w:tc>
            </w:tr>
            <w:tr w:rsidR="002F4E1D" w:rsidTr="004C4AD7">
              <w:trPr>
                <w:trHeight w:val="255"/>
              </w:trPr>
              <w:tc>
                <w:tcPr>
                  <w:tcW w:w="960" w:type="dxa"/>
                  <w:tcBorders>
                    <w:top w:val="nil"/>
                    <w:left w:val="single" w:sz="4" w:space="0" w:color="auto"/>
                    <w:bottom w:val="single" w:sz="4" w:space="0" w:color="auto"/>
                    <w:right w:val="single" w:sz="4" w:space="0" w:color="auto"/>
                  </w:tcBorders>
                  <w:noWrap/>
                  <w:vAlign w:val="center"/>
                  <w:hideMark/>
                </w:tcPr>
                <w:p w:rsidR="002F4E1D" w:rsidRDefault="002F4E1D" w:rsidP="002F4E1D">
                  <w:pPr>
                    <w:spacing w:line="276" w:lineRule="auto"/>
                    <w:jc w:val="center"/>
                    <w:rPr>
                      <w:rFonts w:asciiTheme="minorHAnsi" w:hAnsiTheme="minorHAnsi" w:cs="Arial"/>
                      <w:b/>
                      <w:sz w:val="20"/>
                      <w:szCs w:val="20"/>
                      <w:lang w:eastAsia="en-GB"/>
                    </w:rPr>
                  </w:pPr>
                  <w:r>
                    <w:rPr>
                      <w:rFonts w:asciiTheme="minorHAnsi" w:hAnsiTheme="minorHAnsi" w:cs="Arial"/>
                      <w:b/>
                      <w:sz w:val="20"/>
                      <w:szCs w:val="20"/>
                      <w:lang w:eastAsia="en-GB"/>
                    </w:rPr>
                    <w:t>2008-09</w:t>
                  </w:r>
                </w:p>
              </w:tc>
              <w:tc>
                <w:tcPr>
                  <w:tcW w:w="1180" w:type="dxa"/>
                  <w:tcBorders>
                    <w:top w:val="nil"/>
                    <w:left w:val="nil"/>
                    <w:bottom w:val="single" w:sz="4" w:space="0" w:color="auto"/>
                    <w:right w:val="single" w:sz="4" w:space="0" w:color="auto"/>
                  </w:tcBorders>
                  <w:noWrap/>
                  <w:vAlign w:val="bottom"/>
                  <w:hideMark/>
                </w:tcPr>
                <w:p w:rsidR="002F4E1D" w:rsidRDefault="002F4E1D" w:rsidP="002F4E1D">
                  <w:pPr>
                    <w:jc w:val="right"/>
                    <w:rPr>
                      <w:rFonts w:ascii="Arial" w:hAnsi="Arial" w:cs="Arial"/>
                      <w:sz w:val="20"/>
                      <w:szCs w:val="20"/>
                    </w:rPr>
                  </w:pPr>
                  <w:r>
                    <w:rPr>
                      <w:rFonts w:ascii="Arial" w:hAnsi="Arial" w:cs="Arial"/>
                      <w:sz w:val="20"/>
                      <w:szCs w:val="20"/>
                    </w:rPr>
                    <w:t>38,923</w:t>
                  </w:r>
                </w:p>
              </w:tc>
              <w:tc>
                <w:tcPr>
                  <w:tcW w:w="1600" w:type="dxa"/>
                  <w:tcBorders>
                    <w:top w:val="nil"/>
                    <w:left w:val="nil"/>
                    <w:bottom w:val="single" w:sz="4" w:space="0" w:color="auto"/>
                    <w:right w:val="single" w:sz="4" w:space="0" w:color="auto"/>
                  </w:tcBorders>
                  <w:noWrap/>
                  <w:vAlign w:val="bottom"/>
                  <w:hideMark/>
                </w:tcPr>
                <w:p w:rsidR="002F4E1D" w:rsidRDefault="002F4E1D" w:rsidP="002F4E1D">
                  <w:pPr>
                    <w:jc w:val="right"/>
                    <w:rPr>
                      <w:rFonts w:ascii="Arial" w:hAnsi="Arial" w:cs="Arial"/>
                      <w:sz w:val="20"/>
                      <w:szCs w:val="20"/>
                    </w:rPr>
                  </w:pPr>
                  <w:r>
                    <w:rPr>
                      <w:rFonts w:ascii="Arial" w:hAnsi="Arial" w:cs="Arial"/>
                      <w:sz w:val="20"/>
                      <w:szCs w:val="20"/>
                    </w:rPr>
                    <w:t>20,481</w:t>
                  </w:r>
                </w:p>
              </w:tc>
            </w:tr>
            <w:tr w:rsidR="002F4E1D" w:rsidTr="004C4AD7">
              <w:trPr>
                <w:trHeight w:val="255"/>
              </w:trPr>
              <w:tc>
                <w:tcPr>
                  <w:tcW w:w="960" w:type="dxa"/>
                  <w:tcBorders>
                    <w:top w:val="nil"/>
                    <w:left w:val="single" w:sz="4" w:space="0" w:color="auto"/>
                    <w:bottom w:val="single" w:sz="4" w:space="0" w:color="auto"/>
                    <w:right w:val="single" w:sz="4" w:space="0" w:color="auto"/>
                  </w:tcBorders>
                  <w:noWrap/>
                  <w:vAlign w:val="center"/>
                  <w:hideMark/>
                </w:tcPr>
                <w:p w:rsidR="002F4E1D" w:rsidRDefault="002F4E1D" w:rsidP="002F4E1D">
                  <w:pPr>
                    <w:spacing w:line="276" w:lineRule="auto"/>
                    <w:jc w:val="center"/>
                    <w:rPr>
                      <w:rFonts w:asciiTheme="minorHAnsi" w:hAnsiTheme="minorHAnsi" w:cs="Arial"/>
                      <w:b/>
                      <w:sz w:val="20"/>
                      <w:szCs w:val="20"/>
                      <w:lang w:eastAsia="en-GB"/>
                    </w:rPr>
                  </w:pPr>
                  <w:r>
                    <w:rPr>
                      <w:rFonts w:asciiTheme="minorHAnsi" w:hAnsiTheme="minorHAnsi" w:cs="Arial"/>
                      <w:b/>
                      <w:sz w:val="20"/>
                      <w:szCs w:val="20"/>
                      <w:lang w:eastAsia="en-GB"/>
                    </w:rPr>
                    <w:t>2009-10</w:t>
                  </w:r>
                </w:p>
              </w:tc>
              <w:tc>
                <w:tcPr>
                  <w:tcW w:w="1180" w:type="dxa"/>
                  <w:tcBorders>
                    <w:top w:val="nil"/>
                    <w:left w:val="nil"/>
                    <w:bottom w:val="single" w:sz="4" w:space="0" w:color="auto"/>
                    <w:right w:val="single" w:sz="4" w:space="0" w:color="auto"/>
                  </w:tcBorders>
                  <w:noWrap/>
                  <w:vAlign w:val="bottom"/>
                  <w:hideMark/>
                </w:tcPr>
                <w:p w:rsidR="002F4E1D" w:rsidRDefault="002F4E1D" w:rsidP="002F4E1D">
                  <w:pPr>
                    <w:jc w:val="right"/>
                    <w:rPr>
                      <w:rFonts w:ascii="Arial" w:hAnsi="Arial" w:cs="Arial"/>
                      <w:sz w:val="20"/>
                      <w:szCs w:val="20"/>
                    </w:rPr>
                  </w:pPr>
                  <w:r>
                    <w:rPr>
                      <w:rFonts w:ascii="Arial" w:hAnsi="Arial" w:cs="Arial"/>
                      <w:sz w:val="20"/>
                      <w:szCs w:val="20"/>
                    </w:rPr>
                    <w:t>38,120</w:t>
                  </w:r>
                </w:p>
              </w:tc>
              <w:tc>
                <w:tcPr>
                  <w:tcW w:w="1600" w:type="dxa"/>
                  <w:tcBorders>
                    <w:top w:val="nil"/>
                    <w:left w:val="nil"/>
                    <w:bottom w:val="single" w:sz="4" w:space="0" w:color="auto"/>
                    <w:right w:val="single" w:sz="4" w:space="0" w:color="auto"/>
                  </w:tcBorders>
                  <w:noWrap/>
                  <w:vAlign w:val="bottom"/>
                  <w:hideMark/>
                </w:tcPr>
                <w:p w:rsidR="002F4E1D" w:rsidRDefault="002F4E1D" w:rsidP="002F4E1D">
                  <w:pPr>
                    <w:jc w:val="right"/>
                    <w:rPr>
                      <w:rFonts w:ascii="Arial" w:hAnsi="Arial" w:cs="Arial"/>
                      <w:sz w:val="20"/>
                      <w:szCs w:val="20"/>
                    </w:rPr>
                  </w:pPr>
                  <w:r>
                    <w:rPr>
                      <w:rFonts w:ascii="Arial" w:hAnsi="Arial" w:cs="Arial"/>
                      <w:sz w:val="20"/>
                      <w:szCs w:val="20"/>
                    </w:rPr>
                    <w:t>19,716</w:t>
                  </w:r>
                </w:p>
              </w:tc>
            </w:tr>
            <w:tr w:rsidR="002F4E1D" w:rsidTr="004C4AD7">
              <w:trPr>
                <w:trHeight w:val="255"/>
              </w:trPr>
              <w:tc>
                <w:tcPr>
                  <w:tcW w:w="960" w:type="dxa"/>
                  <w:tcBorders>
                    <w:top w:val="nil"/>
                    <w:left w:val="single" w:sz="4" w:space="0" w:color="auto"/>
                    <w:bottom w:val="single" w:sz="4" w:space="0" w:color="auto"/>
                    <w:right w:val="single" w:sz="4" w:space="0" w:color="auto"/>
                  </w:tcBorders>
                  <w:noWrap/>
                  <w:vAlign w:val="center"/>
                  <w:hideMark/>
                </w:tcPr>
                <w:p w:rsidR="002F4E1D" w:rsidRDefault="002F4E1D" w:rsidP="002F4E1D">
                  <w:pPr>
                    <w:spacing w:line="276" w:lineRule="auto"/>
                    <w:jc w:val="center"/>
                    <w:rPr>
                      <w:rFonts w:asciiTheme="minorHAnsi" w:hAnsiTheme="minorHAnsi" w:cs="Arial"/>
                      <w:b/>
                      <w:sz w:val="20"/>
                      <w:szCs w:val="20"/>
                      <w:lang w:eastAsia="en-GB"/>
                    </w:rPr>
                  </w:pPr>
                  <w:r>
                    <w:rPr>
                      <w:rFonts w:asciiTheme="minorHAnsi" w:hAnsiTheme="minorHAnsi" w:cs="Arial"/>
                      <w:b/>
                      <w:sz w:val="20"/>
                      <w:szCs w:val="20"/>
                      <w:lang w:eastAsia="en-GB"/>
                    </w:rPr>
                    <w:t>2010-11</w:t>
                  </w:r>
                </w:p>
              </w:tc>
              <w:tc>
                <w:tcPr>
                  <w:tcW w:w="1180" w:type="dxa"/>
                  <w:tcBorders>
                    <w:top w:val="nil"/>
                    <w:left w:val="nil"/>
                    <w:bottom w:val="single" w:sz="4" w:space="0" w:color="auto"/>
                    <w:right w:val="single" w:sz="4" w:space="0" w:color="auto"/>
                  </w:tcBorders>
                  <w:noWrap/>
                  <w:vAlign w:val="bottom"/>
                  <w:hideMark/>
                </w:tcPr>
                <w:p w:rsidR="002F4E1D" w:rsidRDefault="002F4E1D" w:rsidP="002F4E1D">
                  <w:pPr>
                    <w:jc w:val="right"/>
                    <w:rPr>
                      <w:rFonts w:ascii="Arial" w:hAnsi="Arial" w:cs="Arial"/>
                      <w:sz w:val="20"/>
                      <w:szCs w:val="20"/>
                    </w:rPr>
                  </w:pPr>
                  <w:r>
                    <w:rPr>
                      <w:rFonts w:ascii="Arial" w:hAnsi="Arial" w:cs="Arial"/>
                      <w:sz w:val="20"/>
                      <w:szCs w:val="20"/>
                    </w:rPr>
                    <w:t>39,891</w:t>
                  </w:r>
                </w:p>
              </w:tc>
              <w:tc>
                <w:tcPr>
                  <w:tcW w:w="1600" w:type="dxa"/>
                  <w:tcBorders>
                    <w:top w:val="nil"/>
                    <w:left w:val="nil"/>
                    <w:bottom w:val="single" w:sz="4" w:space="0" w:color="auto"/>
                    <w:right w:val="single" w:sz="4" w:space="0" w:color="auto"/>
                  </w:tcBorders>
                  <w:noWrap/>
                  <w:vAlign w:val="bottom"/>
                  <w:hideMark/>
                </w:tcPr>
                <w:p w:rsidR="002F4E1D" w:rsidRDefault="002F4E1D" w:rsidP="002F4E1D">
                  <w:pPr>
                    <w:jc w:val="right"/>
                    <w:rPr>
                      <w:rFonts w:ascii="Arial" w:hAnsi="Arial" w:cs="Arial"/>
                      <w:sz w:val="20"/>
                      <w:szCs w:val="20"/>
                    </w:rPr>
                  </w:pPr>
                  <w:r>
                    <w:rPr>
                      <w:rFonts w:ascii="Arial" w:hAnsi="Arial" w:cs="Arial"/>
                      <w:sz w:val="20"/>
                      <w:szCs w:val="20"/>
                    </w:rPr>
                    <w:t>20,967</w:t>
                  </w:r>
                </w:p>
              </w:tc>
            </w:tr>
            <w:tr w:rsidR="002F4E1D" w:rsidTr="004C4AD7">
              <w:trPr>
                <w:trHeight w:val="255"/>
              </w:trPr>
              <w:tc>
                <w:tcPr>
                  <w:tcW w:w="960" w:type="dxa"/>
                  <w:tcBorders>
                    <w:top w:val="nil"/>
                    <w:left w:val="single" w:sz="4" w:space="0" w:color="auto"/>
                    <w:bottom w:val="single" w:sz="4" w:space="0" w:color="auto"/>
                    <w:right w:val="single" w:sz="4" w:space="0" w:color="auto"/>
                  </w:tcBorders>
                  <w:noWrap/>
                  <w:vAlign w:val="center"/>
                  <w:hideMark/>
                </w:tcPr>
                <w:p w:rsidR="002F4E1D" w:rsidRDefault="002F4E1D" w:rsidP="002F4E1D">
                  <w:pPr>
                    <w:spacing w:line="276" w:lineRule="auto"/>
                    <w:jc w:val="center"/>
                    <w:rPr>
                      <w:rFonts w:asciiTheme="minorHAnsi" w:hAnsiTheme="minorHAnsi" w:cs="Arial"/>
                      <w:b/>
                      <w:sz w:val="20"/>
                      <w:szCs w:val="20"/>
                      <w:lang w:eastAsia="en-GB"/>
                    </w:rPr>
                  </w:pPr>
                  <w:r>
                    <w:rPr>
                      <w:rFonts w:asciiTheme="minorHAnsi" w:hAnsiTheme="minorHAnsi" w:cs="Arial"/>
                      <w:b/>
                      <w:sz w:val="20"/>
                      <w:szCs w:val="20"/>
                      <w:lang w:eastAsia="en-GB"/>
                    </w:rPr>
                    <w:t>2011-12</w:t>
                  </w:r>
                </w:p>
              </w:tc>
              <w:tc>
                <w:tcPr>
                  <w:tcW w:w="1180" w:type="dxa"/>
                  <w:tcBorders>
                    <w:top w:val="nil"/>
                    <w:left w:val="nil"/>
                    <w:bottom w:val="single" w:sz="4" w:space="0" w:color="auto"/>
                    <w:right w:val="single" w:sz="4" w:space="0" w:color="auto"/>
                  </w:tcBorders>
                  <w:noWrap/>
                  <w:vAlign w:val="bottom"/>
                  <w:hideMark/>
                </w:tcPr>
                <w:p w:rsidR="002F4E1D" w:rsidRDefault="002F4E1D" w:rsidP="002F4E1D">
                  <w:pPr>
                    <w:jc w:val="right"/>
                    <w:rPr>
                      <w:rFonts w:ascii="Arial" w:hAnsi="Arial" w:cs="Arial"/>
                      <w:sz w:val="20"/>
                      <w:szCs w:val="20"/>
                    </w:rPr>
                  </w:pPr>
                  <w:r>
                    <w:rPr>
                      <w:rFonts w:ascii="Arial" w:hAnsi="Arial" w:cs="Arial"/>
                      <w:sz w:val="20"/>
                      <w:szCs w:val="20"/>
                    </w:rPr>
                    <w:t>34,533</w:t>
                  </w:r>
                </w:p>
              </w:tc>
              <w:tc>
                <w:tcPr>
                  <w:tcW w:w="1600" w:type="dxa"/>
                  <w:tcBorders>
                    <w:top w:val="nil"/>
                    <w:left w:val="nil"/>
                    <w:bottom w:val="single" w:sz="4" w:space="0" w:color="auto"/>
                    <w:right w:val="single" w:sz="4" w:space="0" w:color="auto"/>
                  </w:tcBorders>
                  <w:noWrap/>
                  <w:vAlign w:val="bottom"/>
                  <w:hideMark/>
                </w:tcPr>
                <w:p w:rsidR="002F4E1D" w:rsidRDefault="002F4E1D" w:rsidP="002F4E1D">
                  <w:pPr>
                    <w:jc w:val="right"/>
                    <w:rPr>
                      <w:rFonts w:ascii="Arial" w:hAnsi="Arial" w:cs="Arial"/>
                      <w:sz w:val="20"/>
                      <w:szCs w:val="20"/>
                    </w:rPr>
                  </w:pPr>
                  <w:r>
                    <w:rPr>
                      <w:rFonts w:ascii="Arial" w:hAnsi="Arial" w:cs="Arial"/>
                      <w:sz w:val="20"/>
                      <w:szCs w:val="20"/>
                    </w:rPr>
                    <w:t>20,211</w:t>
                  </w:r>
                </w:p>
              </w:tc>
            </w:tr>
            <w:tr w:rsidR="002F4E1D" w:rsidTr="004C4AD7">
              <w:trPr>
                <w:trHeight w:val="255"/>
              </w:trPr>
              <w:tc>
                <w:tcPr>
                  <w:tcW w:w="960" w:type="dxa"/>
                  <w:tcBorders>
                    <w:top w:val="nil"/>
                    <w:left w:val="single" w:sz="4" w:space="0" w:color="auto"/>
                    <w:bottom w:val="single" w:sz="4" w:space="0" w:color="auto"/>
                    <w:right w:val="single" w:sz="4" w:space="0" w:color="auto"/>
                  </w:tcBorders>
                  <w:noWrap/>
                  <w:vAlign w:val="center"/>
                  <w:hideMark/>
                </w:tcPr>
                <w:p w:rsidR="002F4E1D" w:rsidRDefault="002F4E1D" w:rsidP="002F4E1D">
                  <w:pPr>
                    <w:spacing w:line="276" w:lineRule="auto"/>
                    <w:jc w:val="center"/>
                    <w:rPr>
                      <w:rFonts w:asciiTheme="minorHAnsi" w:hAnsiTheme="minorHAnsi" w:cs="Arial"/>
                      <w:b/>
                      <w:sz w:val="20"/>
                      <w:szCs w:val="20"/>
                      <w:lang w:eastAsia="en-GB"/>
                    </w:rPr>
                  </w:pPr>
                  <w:r>
                    <w:rPr>
                      <w:rFonts w:asciiTheme="minorHAnsi" w:hAnsiTheme="minorHAnsi" w:cs="Arial"/>
                      <w:b/>
                      <w:sz w:val="20"/>
                      <w:szCs w:val="20"/>
                      <w:lang w:eastAsia="en-GB"/>
                    </w:rPr>
                    <w:t>2012-13</w:t>
                  </w:r>
                </w:p>
              </w:tc>
              <w:tc>
                <w:tcPr>
                  <w:tcW w:w="1180" w:type="dxa"/>
                  <w:tcBorders>
                    <w:top w:val="nil"/>
                    <w:left w:val="nil"/>
                    <w:bottom w:val="single" w:sz="4" w:space="0" w:color="auto"/>
                    <w:right w:val="single" w:sz="4" w:space="0" w:color="auto"/>
                  </w:tcBorders>
                  <w:noWrap/>
                  <w:vAlign w:val="bottom"/>
                  <w:hideMark/>
                </w:tcPr>
                <w:p w:rsidR="002F4E1D" w:rsidRDefault="002F4E1D" w:rsidP="002F4E1D">
                  <w:pPr>
                    <w:jc w:val="right"/>
                    <w:rPr>
                      <w:rFonts w:ascii="Arial" w:hAnsi="Arial" w:cs="Arial"/>
                      <w:sz w:val="20"/>
                      <w:szCs w:val="20"/>
                    </w:rPr>
                  </w:pPr>
                  <w:r>
                    <w:rPr>
                      <w:rFonts w:ascii="Arial" w:hAnsi="Arial" w:cs="Arial"/>
                      <w:sz w:val="20"/>
                      <w:szCs w:val="20"/>
                    </w:rPr>
                    <w:t>41,356</w:t>
                  </w:r>
                </w:p>
              </w:tc>
              <w:tc>
                <w:tcPr>
                  <w:tcW w:w="1600" w:type="dxa"/>
                  <w:tcBorders>
                    <w:top w:val="nil"/>
                    <w:left w:val="nil"/>
                    <w:bottom w:val="single" w:sz="4" w:space="0" w:color="auto"/>
                    <w:right w:val="single" w:sz="4" w:space="0" w:color="auto"/>
                  </w:tcBorders>
                  <w:noWrap/>
                  <w:vAlign w:val="bottom"/>
                  <w:hideMark/>
                </w:tcPr>
                <w:p w:rsidR="002F4E1D" w:rsidRDefault="002F4E1D" w:rsidP="002F4E1D">
                  <w:pPr>
                    <w:jc w:val="right"/>
                    <w:rPr>
                      <w:rFonts w:ascii="Arial" w:hAnsi="Arial" w:cs="Arial"/>
                      <w:sz w:val="20"/>
                      <w:szCs w:val="20"/>
                    </w:rPr>
                  </w:pPr>
                  <w:r>
                    <w:rPr>
                      <w:rFonts w:ascii="Arial" w:hAnsi="Arial" w:cs="Arial"/>
                      <w:sz w:val="20"/>
                      <w:szCs w:val="20"/>
                    </w:rPr>
                    <w:t>22,414</w:t>
                  </w:r>
                </w:p>
              </w:tc>
            </w:tr>
            <w:tr w:rsidR="002F4E1D" w:rsidTr="004C4AD7">
              <w:trPr>
                <w:trHeight w:val="255"/>
              </w:trPr>
              <w:tc>
                <w:tcPr>
                  <w:tcW w:w="960" w:type="dxa"/>
                  <w:tcBorders>
                    <w:top w:val="nil"/>
                    <w:left w:val="single" w:sz="4" w:space="0" w:color="auto"/>
                    <w:bottom w:val="single" w:sz="4" w:space="0" w:color="auto"/>
                    <w:right w:val="single" w:sz="4" w:space="0" w:color="auto"/>
                  </w:tcBorders>
                  <w:noWrap/>
                  <w:vAlign w:val="center"/>
                  <w:hideMark/>
                </w:tcPr>
                <w:p w:rsidR="002F4E1D" w:rsidRDefault="002F4E1D" w:rsidP="002F4E1D">
                  <w:pPr>
                    <w:spacing w:line="276" w:lineRule="auto"/>
                    <w:jc w:val="center"/>
                    <w:rPr>
                      <w:rFonts w:asciiTheme="minorHAnsi" w:hAnsiTheme="minorHAnsi" w:cs="Arial"/>
                      <w:b/>
                      <w:sz w:val="20"/>
                      <w:szCs w:val="20"/>
                      <w:lang w:eastAsia="en-GB"/>
                    </w:rPr>
                  </w:pPr>
                  <w:r>
                    <w:rPr>
                      <w:rFonts w:asciiTheme="minorHAnsi" w:hAnsiTheme="minorHAnsi" w:cs="Arial"/>
                      <w:b/>
                      <w:sz w:val="20"/>
                      <w:szCs w:val="20"/>
                      <w:lang w:eastAsia="en-GB"/>
                    </w:rPr>
                    <w:t>2013-14</w:t>
                  </w:r>
                </w:p>
              </w:tc>
              <w:tc>
                <w:tcPr>
                  <w:tcW w:w="1180" w:type="dxa"/>
                  <w:tcBorders>
                    <w:top w:val="nil"/>
                    <w:left w:val="nil"/>
                    <w:bottom w:val="single" w:sz="4" w:space="0" w:color="auto"/>
                    <w:right w:val="single" w:sz="4" w:space="0" w:color="auto"/>
                  </w:tcBorders>
                  <w:noWrap/>
                  <w:vAlign w:val="bottom"/>
                  <w:hideMark/>
                </w:tcPr>
                <w:p w:rsidR="002F4E1D" w:rsidRDefault="002F4E1D" w:rsidP="002F4E1D">
                  <w:pPr>
                    <w:jc w:val="right"/>
                    <w:rPr>
                      <w:rFonts w:ascii="Arial" w:hAnsi="Arial" w:cs="Arial"/>
                      <w:sz w:val="20"/>
                      <w:szCs w:val="20"/>
                    </w:rPr>
                  </w:pPr>
                  <w:r>
                    <w:rPr>
                      <w:rFonts w:ascii="Arial" w:hAnsi="Arial" w:cs="Arial"/>
                      <w:sz w:val="20"/>
                      <w:szCs w:val="20"/>
                    </w:rPr>
                    <w:t>39,967</w:t>
                  </w:r>
                </w:p>
              </w:tc>
              <w:tc>
                <w:tcPr>
                  <w:tcW w:w="1600" w:type="dxa"/>
                  <w:tcBorders>
                    <w:top w:val="nil"/>
                    <w:left w:val="nil"/>
                    <w:bottom w:val="single" w:sz="4" w:space="0" w:color="auto"/>
                    <w:right w:val="single" w:sz="4" w:space="0" w:color="auto"/>
                  </w:tcBorders>
                  <w:noWrap/>
                  <w:vAlign w:val="bottom"/>
                  <w:hideMark/>
                </w:tcPr>
                <w:p w:rsidR="002F4E1D" w:rsidRDefault="002F4E1D" w:rsidP="002F4E1D">
                  <w:pPr>
                    <w:jc w:val="right"/>
                    <w:rPr>
                      <w:rFonts w:ascii="Arial" w:hAnsi="Arial" w:cs="Arial"/>
                      <w:sz w:val="20"/>
                      <w:szCs w:val="20"/>
                    </w:rPr>
                  </w:pPr>
                  <w:r>
                    <w:rPr>
                      <w:rFonts w:ascii="Arial" w:hAnsi="Arial" w:cs="Arial"/>
                      <w:sz w:val="20"/>
                      <w:szCs w:val="20"/>
                    </w:rPr>
                    <w:t>21,586</w:t>
                  </w:r>
                </w:p>
              </w:tc>
            </w:tr>
            <w:tr w:rsidR="002F4E1D" w:rsidTr="004C4AD7">
              <w:trPr>
                <w:trHeight w:val="255"/>
              </w:trPr>
              <w:tc>
                <w:tcPr>
                  <w:tcW w:w="960" w:type="dxa"/>
                  <w:tcBorders>
                    <w:top w:val="nil"/>
                    <w:left w:val="single" w:sz="4" w:space="0" w:color="auto"/>
                    <w:bottom w:val="single" w:sz="4" w:space="0" w:color="auto"/>
                    <w:right w:val="single" w:sz="4" w:space="0" w:color="auto"/>
                  </w:tcBorders>
                  <w:noWrap/>
                  <w:vAlign w:val="center"/>
                  <w:hideMark/>
                </w:tcPr>
                <w:p w:rsidR="002F4E1D" w:rsidRDefault="002F4E1D" w:rsidP="002F4E1D">
                  <w:pPr>
                    <w:spacing w:line="276" w:lineRule="auto"/>
                    <w:jc w:val="center"/>
                    <w:rPr>
                      <w:rFonts w:asciiTheme="minorHAnsi" w:hAnsiTheme="minorHAnsi" w:cs="Arial"/>
                      <w:b/>
                      <w:sz w:val="20"/>
                      <w:szCs w:val="20"/>
                      <w:lang w:eastAsia="en-GB"/>
                    </w:rPr>
                  </w:pPr>
                  <w:r>
                    <w:rPr>
                      <w:rFonts w:asciiTheme="minorHAnsi" w:hAnsiTheme="minorHAnsi" w:cs="Arial"/>
                      <w:b/>
                      <w:sz w:val="20"/>
                      <w:szCs w:val="20"/>
                      <w:lang w:eastAsia="en-GB"/>
                    </w:rPr>
                    <w:t>2014-15</w:t>
                  </w:r>
                </w:p>
              </w:tc>
              <w:tc>
                <w:tcPr>
                  <w:tcW w:w="1180" w:type="dxa"/>
                  <w:tcBorders>
                    <w:top w:val="nil"/>
                    <w:left w:val="nil"/>
                    <w:bottom w:val="single" w:sz="4" w:space="0" w:color="auto"/>
                    <w:right w:val="single" w:sz="4" w:space="0" w:color="auto"/>
                  </w:tcBorders>
                  <w:noWrap/>
                  <w:vAlign w:val="bottom"/>
                  <w:hideMark/>
                </w:tcPr>
                <w:p w:rsidR="002F4E1D" w:rsidRDefault="002F4E1D" w:rsidP="002F4E1D">
                  <w:pPr>
                    <w:jc w:val="right"/>
                    <w:rPr>
                      <w:rFonts w:ascii="Arial" w:hAnsi="Arial" w:cs="Arial"/>
                      <w:sz w:val="20"/>
                      <w:szCs w:val="20"/>
                    </w:rPr>
                  </w:pPr>
                  <w:r>
                    <w:rPr>
                      <w:rFonts w:ascii="Arial" w:hAnsi="Arial" w:cs="Arial"/>
                      <w:sz w:val="20"/>
                      <w:szCs w:val="20"/>
                    </w:rPr>
                    <w:t>39,338</w:t>
                  </w:r>
                </w:p>
              </w:tc>
              <w:tc>
                <w:tcPr>
                  <w:tcW w:w="1600" w:type="dxa"/>
                  <w:tcBorders>
                    <w:top w:val="nil"/>
                    <w:left w:val="nil"/>
                    <w:bottom w:val="single" w:sz="4" w:space="0" w:color="auto"/>
                    <w:right w:val="single" w:sz="4" w:space="0" w:color="auto"/>
                  </w:tcBorders>
                  <w:noWrap/>
                  <w:vAlign w:val="bottom"/>
                  <w:hideMark/>
                </w:tcPr>
                <w:p w:rsidR="002F4E1D" w:rsidRDefault="002F4E1D" w:rsidP="002F4E1D">
                  <w:pPr>
                    <w:jc w:val="right"/>
                    <w:rPr>
                      <w:rFonts w:ascii="Arial" w:hAnsi="Arial" w:cs="Arial"/>
                      <w:sz w:val="20"/>
                      <w:szCs w:val="20"/>
                    </w:rPr>
                  </w:pPr>
                  <w:r>
                    <w:rPr>
                      <w:rFonts w:ascii="Arial" w:hAnsi="Arial" w:cs="Arial"/>
                      <w:sz w:val="20"/>
                      <w:szCs w:val="20"/>
                    </w:rPr>
                    <w:t>22,097</w:t>
                  </w:r>
                </w:p>
              </w:tc>
            </w:tr>
            <w:tr w:rsidR="002F4E1D" w:rsidTr="004C4AD7">
              <w:trPr>
                <w:trHeight w:val="255"/>
              </w:trPr>
              <w:tc>
                <w:tcPr>
                  <w:tcW w:w="960" w:type="dxa"/>
                  <w:tcBorders>
                    <w:top w:val="single" w:sz="4" w:space="0" w:color="auto"/>
                    <w:left w:val="single" w:sz="4" w:space="0" w:color="auto"/>
                    <w:bottom w:val="single" w:sz="4" w:space="0" w:color="auto"/>
                    <w:right w:val="single" w:sz="4" w:space="0" w:color="auto"/>
                  </w:tcBorders>
                  <w:noWrap/>
                  <w:vAlign w:val="center"/>
                  <w:hideMark/>
                </w:tcPr>
                <w:p w:rsidR="002F4E1D" w:rsidRDefault="002F4E1D" w:rsidP="002F4E1D">
                  <w:pPr>
                    <w:spacing w:line="276" w:lineRule="auto"/>
                    <w:jc w:val="center"/>
                    <w:rPr>
                      <w:rFonts w:asciiTheme="minorHAnsi" w:hAnsiTheme="minorHAnsi" w:cs="Arial"/>
                      <w:b/>
                      <w:sz w:val="20"/>
                      <w:szCs w:val="20"/>
                      <w:lang w:eastAsia="en-GB"/>
                    </w:rPr>
                  </w:pPr>
                  <w:r>
                    <w:rPr>
                      <w:rFonts w:asciiTheme="minorHAnsi" w:hAnsiTheme="minorHAnsi" w:cs="Arial"/>
                      <w:b/>
                      <w:sz w:val="20"/>
                      <w:szCs w:val="20"/>
                      <w:lang w:eastAsia="en-GB"/>
                    </w:rPr>
                    <w:t>2015-16</w:t>
                  </w:r>
                </w:p>
              </w:tc>
              <w:tc>
                <w:tcPr>
                  <w:tcW w:w="1180" w:type="dxa"/>
                  <w:tcBorders>
                    <w:top w:val="single" w:sz="4" w:space="0" w:color="auto"/>
                    <w:left w:val="nil"/>
                    <w:bottom w:val="single" w:sz="4" w:space="0" w:color="auto"/>
                    <w:right w:val="single" w:sz="4" w:space="0" w:color="auto"/>
                  </w:tcBorders>
                  <w:noWrap/>
                  <w:vAlign w:val="bottom"/>
                  <w:hideMark/>
                </w:tcPr>
                <w:p w:rsidR="002F4E1D" w:rsidRDefault="002F4E1D" w:rsidP="002F4E1D">
                  <w:pPr>
                    <w:jc w:val="right"/>
                    <w:rPr>
                      <w:rFonts w:ascii="Arial" w:hAnsi="Arial" w:cs="Arial"/>
                      <w:sz w:val="20"/>
                      <w:szCs w:val="20"/>
                    </w:rPr>
                  </w:pPr>
                  <w:r>
                    <w:rPr>
                      <w:rFonts w:ascii="Arial" w:hAnsi="Arial" w:cs="Arial"/>
                      <w:sz w:val="20"/>
                      <w:szCs w:val="20"/>
                    </w:rPr>
                    <w:t>37,586</w:t>
                  </w:r>
                </w:p>
              </w:tc>
              <w:tc>
                <w:tcPr>
                  <w:tcW w:w="1600" w:type="dxa"/>
                  <w:tcBorders>
                    <w:top w:val="single" w:sz="4" w:space="0" w:color="auto"/>
                    <w:left w:val="nil"/>
                    <w:bottom w:val="single" w:sz="4" w:space="0" w:color="auto"/>
                    <w:right w:val="single" w:sz="4" w:space="0" w:color="auto"/>
                  </w:tcBorders>
                  <w:noWrap/>
                  <w:vAlign w:val="bottom"/>
                  <w:hideMark/>
                </w:tcPr>
                <w:p w:rsidR="002F4E1D" w:rsidRDefault="002F4E1D" w:rsidP="002F4E1D">
                  <w:pPr>
                    <w:jc w:val="right"/>
                    <w:rPr>
                      <w:rFonts w:ascii="Arial" w:hAnsi="Arial" w:cs="Arial"/>
                      <w:sz w:val="20"/>
                      <w:szCs w:val="20"/>
                    </w:rPr>
                  </w:pPr>
                  <w:r>
                    <w:rPr>
                      <w:rFonts w:ascii="Arial" w:hAnsi="Arial" w:cs="Arial"/>
                      <w:sz w:val="20"/>
                      <w:szCs w:val="20"/>
                    </w:rPr>
                    <w:t>22,645</w:t>
                  </w:r>
                </w:p>
              </w:tc>
            </w:tr>
            <w:tr w:rsidR="002F4E1D" w:rsidTr="004C4AD7">
              <w:trPr>
                <w:trHeight w:val="255"/>
              </w:trPr>
              <w:tc>
                <w:tcPr>
                  <w:tcW w:w="960" w:type="dxa"/>
                  <w:tcBorders>
                    <w:top w:val="single" w:sz="4" w:space="0" w:color="auto"/>
                    <w:left w:val="single" w:sz="4" w:space="0" w:color="auto"/>
                    <w:bottom w:val="single" w:sz="4" w:space="0" w:color="auto"/>
                    <w:right w:val="single" w:sz="4" w:space="0" w:color="auto"/>
                  </w:tcBorders>
                  <w:noWrap/>
                  <w:vAlign w:val="center"/>
                  <w:hideMark/>
                </w:tcPr>
                <w:p w:rsidR="002F4E1D" w:rsidRDefault="002F4E1D" w:rsidP="002F4E1D">
                  <w:pPr>
                    <w:spacing w:line="276" w:lineRule="auto"/>
                    <w:jc w:val="center"/>
                    <w:rPr>
                      <w:rFonts w:asciiTheme="minorHAnsi" w:hAnsiTheme="minorHAnsi" w:cs="Arial"/>
                      <w:b/>
                      <w:sz w:val="20"/>
                      <w:szCs w:val="20"/>
                      <w:lang w:eastAsia="en-GB"/>
                    </w:rPr>
                  </w:pPr>
                  <w:r>
                    <w:rPr>
                      <w:rFonts w:asciiTheme="minorHAnsi" w:hAnsiTheme="minorHAnsi" w:cs="Arial"/>
                      <w:b/>
                      <w:sz w:val="20"/>
                      <w:szCs w:val="20"/>
                      <w:lang w:eastAsia="en-GB"/>
                    </w:rPr>
                    <w:t>2016-17</w:t>
                  </w:r>
                </w:p>
              </w:tc>
              <w:tc>
                <w:tcPr>
                  <w:tcW w:w="1180" w:type="dxa"/>
                  <w:tcBorders>
                    <w:top w:val="single" w:sz="4" w:space="0" w:color="auto"/>
                    <w:left w:val="nil"/>
                    <w:bottom w:val="single" w:sz="4" w:space="0" w:color="auto"/>
                    <w:right w:val="single" w:sz="4" w:space="0" w:color="auto"/>
                  </w:tcBorders>
                  <w:noWrap/>
                  <w:vAlign w:val="bottom"/>
                  <w:hideMark/>
                </w:tcPr>
                <w:p w:rsidR="002F4E1D" w:rsidRDefault="002F4E1D" w:rsidP="002F4E1D">
                  <w:pPr>
                    <w:jc w:val="right"/>
                    <w:rPr>
                      <w:rFonts w:ascii="Arial" w:hAnsi="Arial" w:cs="Arial"/>
                      <w:sz w:val="20"/>
                      <w:szCs w:val="20"/>
                    </w:rPr>
                  </w:pPr>
                  <w:r>
                    <w:rPr>
                      <w:rFonts w:ascii="Arial" w:hAnsi="Arial" w:cs="Arial"/>
                      <w:sz w:val="20"/>
                      <w:szCs w:val="20"/>
                    </w:rPr>
                    <w:t>37,611</w:t>
                  </w:r>
                </w:p>
              </w:tc>
              <w:tc>
                <w:tcPr>
                  <w:tcW w:w="1600" w:type="dxa"/>
                  <w:tcBorders>
                    <w:top w:val="single" w:sz="4" w:space="0" w:color="auto"/>
                    <w:left w:val="nil"/>
                    <w:bottom w:val="single" w:sz="4" w:space="0" w:color="auto"/>
                    <w:right w:val="single" w:sz="4" w:space="0" w:color="auto"/>
                  </w:tcBorders>
                  <w:noWrap/>
                  <w:vAlign w:val="bottom"/>
                  <w:hideMark/>
                </w:tcPr>
                <w:p w:rsidR="002F4E1D" w:rsidRDefault="002F4E1D" w:rsidP="002F4E1D">
                  <w:pPr>
                    <w:jc w:val="right"/>
                    <w:rPr>
                      <w:rFonts w:ascii="Arial" w:hAnsi="Arial" w:cs="Arial"/>
                      <w:sz w:val="20"/>
                      <w:szCs w:val="20"/>
                    </w:rPr>
                  </w:pPr>
                  <w:r>
                    <w:rPr>
                      <w:rFonts w:ascii="Arial" w:hAnsi="Arial" w:cs="Arial"/>
                      <w:sz w:val="20"/>
                      <w:szCs w:val="20"/>
                    </w:rPr>
                    <w:t>23,694</w:t>
                  </w:r>
                </w:p>
              </w:tc>
            </w:tr>
            <w:tr w:rsidR="002F4E1D" w:rsidTr="004C4AD7">
              <w:trPr>
                <w:trHeight w:val="255"/>
              </w:trPr>
              <w:tc>
                <w:tcPr>
                  <w:tcW w:w="960" w:type="dxa"/>
                  <w:tcBorders>
                    <w:top w:val="single" w:sz="4" w:space="0" w:color="auto"/>
                    <w:left w:val="single" w:sz="4" w:space="0" w:color="auto"/>
                    <w:bottom w:val="single" w:sz="4" w:space="0" w:color="auto"/>
                    <w:right w:val="single" w:sz="4" w:space="0" w:color="auto"/>
                  </w:tcBorders>
                  <w:noWrap/>
                  <w:vAlign w:val="center"/>
                  <w:hideMark/>
                </w:tcPr>
                <w:p w:rsidR="002F4E1D" w:rsidRPr="002F4E1D" w:rsidRDefault="002F4E1D" w:rsidP="002F4E1D">
                  <w:pPr>
                    <w:spacing w:line="276" w:lineRule="auto"/>
                    <w:jc w:val="center"/>
                    <w:rPr>
                      <w:rFonts w:asciiTheme="minorHAnsi" w:hAnsiTheme="minorHAnsi" w:cs="Arial"/>
                      <w:b/>
                      <w:sz w:val="20"/>
                      <w:szCs w:val="20"/>
                      <w:lang w:eastAsia="en-GB"/>
                    </w:rPr>
                  </w:pPr>
                  <w:r w:rsidRPr="002F4E1D">
                    <w:rPr>
                      <w:rFonts w:asciiTheme="minorHAnsi" w:hAnsiTheme="minorHAnsi" w:cs="Arial"/>
                      <w:b/>
                      <w:sz w:val="20"/>
                      <w:szCs w:val="20"/>
                      <w:lang w:eastAsia="en-GB"/>
                    </w:rPr>
                    <w:t>2017-18</w:t>
                  </w:r>
                </w:p>
              </w:tc>
              <w:tc>
                <w:tcPr>
                  <w:tcW w:w="1180" w:type="dxa"/>
                  <w:tcBorders>
                    <w:top w:val="single" w:sz="4" w:space="0" w:color="auto"/>
                    <w:left w:val="nil"/>
                    <w:bottom w:val="single" w:sz="4" w:space="0" w:color="auto"/>
                    <w:right w:val="single" w:sz="4" w:space="0" w:color="auto"/>
                  </w:tcBorders>
                  <w:noWrap/>
                  <w:vAlign w:val="bottom"/>
                  <w:hideMark/>
                </w:tcPr>
                <w:p w:rsidR="002F4E1D" w:rsidRDefault="002F4E1D" w:rsidP="002F4E1D">
                  <w:pPr>
                    <w:jc w:val="right"/>
                    <w:rPr>
                      <w:rFonts w:ascii="Arial" w:hAnsi="Arial" w:cs="Arial"/>
                      <w:sz w:val="20"/>
                      <w:szCs w:val="20"/>
                    </w:rPr>
                  </w:pPr>
                  <w:r>
                    <w:rPr>
                      <w:rFonts w:ascii="Arial" w:hAnsi="Arial" w:cs="Arial"/>
                      <w:sz w:val="20"/>
                      <w:szCs w:val="20"/>
                    </w:rPr>
                    <w:t>36,198</w:t>
                  </w:r>
                </w:p>
              </w:tc>
              <w:tc>
                <w:tcPr>
                  <w:tcW w:w="1600" w:type="dxa"/>
                  <w:tcBorders>
                    <w:top w:val="single" w:sz="4" w:space="0" w:color="auto"/>
                    <w:left w:val="nil"/>
                    <w:bottom w:val="single" w:sz="4" w:space="0" w:color="auto"/>
                    <w:right w:val="single" w:sz="4" w:space="0" w:color="auto"/>
                  </w:tcBorders>
                  <w:noWrap/>
                  <w:vAlign w:val="bottom"/>
                  <w:hideMark/>
                </w:tcPr>
                <w:p w:rsidR="002F4E1D" w:rsidRDefault="002F4E1D" w:rsidP="002F4E1D">
                  <w:pPr>
                    <w:jc w:val="right"/>
                    <w:rPr>
                      <w:rFonts w:ascii="Arial" w:hAnsi="Arial" w:cs="Arial"/>
                      <w:sz w:val="20"/>
                      <w:szCs w:val="20"/>
                    </w:rPr>
                  </w:pPr>
                  <w:r>
                    <w:rPr>
                      <w:rFonts w:ascii="Arial" w:hAnsi="Arial" w:cs="Arial"/>
                      <w:sz w:val="20"/>
                      <w:szCs w:val="20"/>
                    </w:rPr>
                    <w:t>24,148</w:t>
                  </w:r>
                </w:p>
              </w:tc>
            </w:tr>
            <w:tr w:rsidR="002F4E1D" w:rsidTr="004C4AD7">
              <w:trPr>
                <w:trHeight w:val="255"/>
              </w:trPr>
              <w:tc>
                <w:tcPr>
                  <w:tcW w:w="960" w:type="dxa"/>
                  <w:tcBorders>
                    <w:top w:val="single" w:sz="4" w:space="0" w:color="auto"/>
                    <w:left w:val="single" w:sz="4" w:space="0" w:color="auto"/>
                    <w:bottom w:val="single" w:sz="4" w:space="0" w:color="auto"/>
                    <w:right w:val="single" w:sz="4" w:space="0" w:color="auto"/>
                  </w:tcBorders>
                  <w:noWrap/>
                  <w:vAlign w:val="center"/>
                </w:tcPr>
                <w:p w:rsidR="002F4E1D" w:rsidRPr="00EA25BE" w:rsidRDefault="002F4E1D" w:rsidP="002F4E1D">
                  <w:pPr>
                    <w:spacing w:line="276" w:lineRule="auto"/>
                    <w:jc w:val="center"/>
                    <w:rPr>
                      <w:rFonts w:asciiTheme="minorHAnsi" w:hAnsiTheme="minorHAnsi" w:cs="Arial"/>
                      <w:b/>
                      <w:color w:val="000000" w:themeColor="text1"/>
                      <w:sz w:val="20"/>
                      <w:szCs w:val="20"/>
                      <w:lang w:eastAsia="en-GB"/>
                    </w:rPr>
                  </w:pPr>
                  <w:r w:rsidRPr="00EA25BE">
                    <w:rPr>
                      <w:rFonts w:asciiTheme="minorHAnsi" w:hAnsiTheme="minorHAnsi" w:cs="Arial"/>
                      <w:b/>
                      <w:color w:val="000000" w:themeColor="text1"/>
                      <w:sz w:val="20"/>
                      <w:szCs w:val="20"/>
                      <w:lang w:eastAsia="en-GB"/>
                    </w:rPr>
                    <w:t>2018-19</w:t>
                  </w:r>
                </w:p>
              </w:tc>
              <w:tc>
                <w:tcPr>
                  <w:tcW w:w="1180" w:type="dxa"/>
                  <w:tcBorders>
                    <w:top w:val="single" w:sz="4" w:space="0" w:color="auto"/>
                    <w:left w:val="nil"/>
                    <w:bottom w:val="single" w:sz="4" w:space="0" w:color="auto"/>
                    <w:right w:val="single" w:sz="4" w:space="0" w:color="auto"/>
                  </w:tcBorders>
                  <w:noWrap/>
                  <w:vAlign w:val="bottom"/>
                </w:tcPr>
                <w:p w:rsidR="002F4E1D" w:rsidRPr="00EA25BE" w:rsidRDefault="002F4E1D" w:rsidP="002F4E1D">
                  <w:pPr>
                    <w:jc w:val="right"/>
                    <w:rPr>
                      <w:rFonts w:ascii="Arial" w:hAnsi="Arial" w:cs="Arial"/>
                      <w:color w:val="000000" w:themeColor="text1"/>
                      <w:sz w:val="20"/>
                      <w:szCs w:val="20"/>
                    </w:rPr>
                  </w:pPr>
                  <w:r w:rsidRPr="00EA25BE">
                    <w:rPr>
                      <w:rFonts w:ascii="Arial" w:hAnsi="Arial" w:cs="Arial"/>
                      <w:color w:val="000000" w:themeColor="text1"/>
                      <w:sz w:val="20"/>
                      <w:szCs w:val="20"/>
                    </w:rPr>
                    <w:t>37,859</w:t>
                  </w:r>
                </w:p>
              </w:tc>
              <w:tc>
                <w:tcPr>
                  <w:tcW w:w="1600" w:type="dxa"/>
                  <w:tcBorders>
                    <w:top w:val="single" w:sz="4" w:space="0" w:color="auto"/>
                    <w:left w:val="nil"/>
                    <w:bottom w:val="single" w:sz="4" w:space="0" w:color="auto"/>
                    <w:right w:val="single" w:sz="4" w:space="0" w:color="auto"/>
                  </w:tcBorders>
                  <w:noWrap/>
                  <w:vAlign w:val="bottom"/>
                </w:tcPr>
                <w:p w:rsidR="002F4E1D" w:rsidRPr="00EA25BE" w:rsidRDefault="002F4E1D" w:rsidP="002F4E1D">
                  <w:pPr>
                    <w:jc w:val="right"/>
                    <w:rPr>
                      <w:rFonts w:ascii="Arial" w:hAnsi="Arial" w:cs="Arial"/>
                      <w:color w:val="000000" w:themeColor="text1"/>
                      <w:sz w:val="20"/>
                      <w:szCs w:val="20"/>
                    </w:rPr>
                  </w:pPr>
                  <w:r w:rsidRPr="00EA25BE">
                    <w:rPr>
                      <w:rFonts w:ascii="Arial" w:hAnsi="Arial" w:cs="Arial"/>
                      <w:color w:val="000000" w:themeColor="text1"/>
                      <w:sz w:val="20"/>
                      <w:szCs w:val="20"/>
                    </w:rPr>
                    <w:t>26,387</w:t>
                  </w:r>
                </w:p>
              </w:tc>
            </w:tr>
            <w:tr w:rsidR="00EA25BE" w:rsidTr="004C4AD7">
              <w:trPr>
                <w:trHeight w:val="255"/>
              </w:trPr>
              <w:tc>
                <w:tcPr>
                  <w:tcW w:w="960" w:type="dxa"/>
                  <w:tcBorders>
                    <w:top w:val="single" w:sz="4" w:space="0" w:color="auto"/>
                    <w:left w:val="single" w:sz="4" w:space="0" w:color="auto"/>
                    <w:bottom w:val="single" w:sz="4" w:space="0" w:color="auto"/>
                    <w:right w:val="single" w:sz="4" w:space="0" w:color="auto"/>
                  </w:tcBorders>
                  <w:noWrap/>
                  <w:vAlign w:val="center"/>
                </w:tcPr>
                <w:p w:rsidR="00EA25BE" w:rsidRDefault="00EA25BE" w:rsidP="00EA25BE">
                  <w:pPr>
                    <w:spacing w:line="276" w:lineRule="auto"/>
                    <w:jc w:val="center"/>
                    <w:rPr>
                      <w:rFonts w:asciiTheme="minorHAnsi" w:hAnsiTheme="minorHAnsi" w:cs="Arial"/>
                      <w:b/>
                      <w:color w:val="00B050"/>
                      <w:sz w:val="20"/>
                      <w:szCs w:val="20"/>
                      <w:lang w:eastAsia="en-GB"/>
                    </w:rPr>
                  </w:pPr>
                  <w:r>
                    <w:rPr>
                      <w:rFonts w:asciiTheme="minorHAnsi" w:hAnsiTheme="minorHAnsi" w:cs="Arial"/>
                      <w:b/>
                      <w:color w:val="00B050"/>
                      <w:sz w:val="20"/>
                      <w:szCs w:val="20"/>
                      <w:lang w:eastAsia="en-GB"/>
                    </w:rPr>
                    <w:t>2019-20</w:t>
                  </w:r>
                </w:p>
              </w:tc>
              <w:tc>
                <w:tcPr>
                  <w:tcW w:w="1180" w:type="dxa"/>
                  <w:tcBorders>
                    <w:top w:val="single" w:sz="4" w:space="0" w:color="auto"/>
                    <w:left w:val="nil"/>
                    <w:bottom w:val="single" w:sz="4" w:space="0" w:color="auto"/>
                    <w:right w:val="single" w:sz="4" w:space="0" w:color="auto"/>
                  </w:tcBorders>
                  <w:noWrap/>
                  <w:vAlign w:val="bottom"/>
                </w:tcPr>
                <w:p w:rsidR="00EA25BE" w:rsidRPr="002F4E1D" w:rsidRDefault="00EA25BE" w:rsidP="00EA25BE">
                  <w:pPr>
                    <w:jc w:val="right"/>
                    <w:rPr>
                      <w:rFonts w:ascii="Arial" w:hAnsi="Arial" w:cs="Arial"/>
                      <w:color w:val="00B050"/>
                      <w:sz w:val="20"/>
                      <w:szCs w:val="20"/>
                    </w:rPr>
                  </w:pPr>
                  <w:r>
                    <w:rPr>
                      <w:rFonts w:ascii="Arial" w:hAnsi="Arial" w:cs="Arial"/>
                      <w:color w:val="00B050"/>
                      <w:sz w:val="20"/>
                      <w:szCs w:val="20"/>
                    </w:rPr>
                    <w:t>38,745</w:t>
                  </w:r>
                </w:p>
              </w:tc>
              <w:tc>
                <w:tcPr>
                  <w:tcW w:w="1600" w:type="dxa"/>
                  <w:tcBorders>
                    <w:top w:val="single" w:sz="4" w:space="0" w:color="auto"/>
                    <w:left w:val="nil"/>
                    <w:bottom w:val="single" w:sz="4" w:space="0" w:color="auto"/>
                    <w:right w:val="single" w:sz="4" w:space="0" w:color="auto"/>
                  </w:tcBorders>
                  <w:noWrap/>
                  <w:vAlign w:val="bottom"/>
                </w:tcPr>
                <w:p w:rsidR="00EA25BE" w:rsidRPr="002F4E1D" w:rsidRDefault="00EA25BE" w:rsidP="00EA25BE">
                  <w:pPr>
                    <w:jc w:val="right"/>
                    <w:rPr>
                      <w:rFonts w:ascii="Arial" w:hAnsi="Arial" w:cs="Arial"/>
                      <w:color w:val="00B050"/>
                      <w:sz w:val="20"/>
                      <w:szCs w:val="20"/>
                    </w:rPr>
                  </w:pPr>
                  <w:r>
                    <w:rPr>
                      <w:rFonts w:ascii="Arial" w:hAnsi="Arial" w:cs="Arial"/>
                      <w:color w:val="00B050"/>
                      <w:sz w:val="20"/>
                      <w:szCs w:val="20"/>
                    </w:rPr>
                    <w:t>27,745</w:t>
                  </w:r>
                </w:p>
              </w:tc>
            </w:tr>
          </w:tbl>
          <w:p w:rsidR="002F4E1D" w:rsidRDefault="002F4E1D" w:rsidP="002F4E1D">
            <w:pPr>
              <w:rPr>
                <w:rFonts w:asciiTheme="minorHAnsi" w:hAnsiTheme="minorHAnsi"/>
                <w:sz w:val="16"/>
                <w:szCs w:val="20"/>
              </w:rPr>
            </w:pPr>
          </w:p>
          <w:p w:rsidR="002F4E1D" w:rsidRDefault="002F4E1D" w:rsidP="002F4E1D">
            <w:pPr>
              <w:rPr>
                <w:rFonts w:asciiTheme="minorHAnsi" w:hAnsiTheme="minorHAnsi"/>
                <w:sz w:val="16"/>
                <w:szCs w:val="20"/>
              </w:rPr>
            </w:pPr>
            <w:r>
              <w:rPr>
                <w:rFonts w:asciiTheme="minorHAnsi" w:hAnsiTheme="minorHAnsi"/>
                <w:sz w:val="16"/>
                <w:szCs w:val="20"/>
              </w:rPr>
              <w:t>1. See Appendix 3: Data Sources - Social Renting Demand.</w:t>
            </w:r>
          </w:p>
          <w:p w:rsidR="002F4E1D" w:rsidRDefault="002F4E1D" w:rsidP="002F4E1D">
            <w:pPr>
              <w:rPr>
                <w:rFonts w:asciiTheme="minorHAnsi" w:hAnsiTheme="minorHAnsi"/>
                <w:sz w:val="16"/>
                <w:szCs w:val="20"/>
              </w:rPr>
            </w:pPr>
            <w:r>
              <w:rPr>
                <w:rFonts w:asciiTheme="minorHAnsi" w:hAnsiTheme="minorHAnsi"/>
                <w:sz w:val="16"/>
                <w:szCs w:val="20"/>
              </w:rPr>
              <w:t>2. 'Number of Allocations to Applicants' refers to the number of properties allocated by the Housing Executive and housing associations to applicants on the Common Waiting List who were not already social sector tenants.</w:t>
            </w:r>
          </w:p>
          <w:p w:rsidR="002F4E1D" w:rsidRDefault="002F4E1D" w:rsidP="002F4E1D">
            <w:pPr>
              <w:rPr>
                <w:rFonts w:asciiTheme="minorHAnsi" w:hAnsiTheme="minorHAnsi"/>
                <w:sz w:val="16"/>
                <w:szCs w:val="20"/>
              </w:rPr>
            </w:pPr>
            <w:r>
              <w:rPr>
                <w:rFonts w:asciiTheme="minorHAnsi" w:hAnsiTheme="minorHAnsi"/>
                <w:sz w:val="16"/>
                <w:szCs w:val="20"/>
              </w:rPr>
              <w:t xml:space="preserve">3. 'Number of Allocations to NIHE/Housing Association transfers' refers to the number of properties allocated by the Housing </w:t>
            </w:r>
          </w:p>
          <w:p w:rsidR="002F4E1D" w:rsidRDefault="002F4E1D" w:rsidP="002F4E1D">
            <w:pPr>
              <w:rPr>
                <w:rFonts w:asciiTheme="minorHAnsi" w:hAnsiTheme="minorHAnsi"/>
                <w:sz w:val="16"/>
                <w:szCs w:val="20"/>
              </w:rPr>
            </w:pPr>
            <w:r>
              <w:rPr>
                <w:rFonts w:asciiTheme="minorHAnsi" w:hAnsiTheme="minorHAnsi"/>
                <w:sz w:val="16"/>
                <w:szCs w:val="20"/>
              </w:rPr>
              <w:t xml:space="preserve"> Executive and housing associations to tenants on the Common Waiting List who had applied for a transfer from an existing tenancy.</w:t>
            </w:r>
          </w:p>
          <w:p w:rsidR="002F4E1D" w:rsidRDefault="002F4E1D" w:rsidP="002F4E1D">
            <w:pPr>
              <w:rPr>
                <w:rFonts w:asciiTheme="minorHAnsi" w:hAnsiTheme="minorHAnsi"/>
                <w:sz w:val="16"/>
                <w:szCs w:val="20"/>
              </w:rPr>
            </w:pPr>
            <w:r>
              <w:rPr>
                <w:rFonts w:asciiTheme="minorHAnsi" w:hAnsiTheme="minorHAnsi"/>
                <w:sz w:val="16"/>
                <w:szCs w:val="20"/>
              </w:rPr>
              <w:t>4. 'Housing Stress' refers to those applicants who have 30 or more points under the Common Selection Scheme.</w:t>
            </w:r>
          </w:p>
          <w:p w:rsidR="002F4E1D" w:rsidRDefault="002F4E1D" w:rsidP="002F4E1D">
            <w:pPr>
              <w:rPr>
                <w:rFonts w:asciiTheme="minorHAnsi" w:hAnsiTheme="minorHAnsi"/>
                <w:sz w:val="16"/>
                <w:szCs w:val="20"/>
              </w:rPr>
            </w:pPr>
            <w:r>
              <w:rPr>
                <w:rFonts w:asciiTheme="minorHAnsi" w:hAnsiTheme="minorHAnsi"/>
                <w:sz w:val="16"/>
                <w:szCs w:val="20"/>
              </w:rPr>
              <w:t>5. The waiting list figures cover new applicants only i.e. those with no existing NIHE/HA tenancy.</w:t>
            </w:r>
          </w:p>
          <w:p w:rsidR="002F4E1D" w:rsidRDefault="002F4E1D" w:rsidP="002F4E1D">
            <w:pPr>
              <w:rPr>
                <w:rFonts w:asciiTheme="minorHAnsi" w:hAnsiTheme="minorHAnsi"/>
                <w:sz w:val="16"/>
                <w:szCs w:val="20"/>
              </w:rPr>
            </w:pPr>
            <w:r>
              <w:rPr>
                <w:rFonts w:asciiTheme="minorHAnsi" w:hAnsiTheme="minorHAnsi"/>
                <w:sz w:val="16"/>
                <w:szCs w:val="20"/>
              </w:rPr>
              <w:t>6. Allocations figures are based on offers accepted 1 April - 31 March.</w:t>
            </w:r>
          </w:p>
          <w:p w:rsidR="002F4E1D" w:rsidRDefault="002F4E1D" w:rsidP="002F4E1D">
            <w:pPr>
              <w:rPr>
                <w:rFonts w:asciiTheme="minorHAnsi" w:hAnsiTheme="minorHAnsi"/>
                <w:sz w:val="16"/>
                <w:szCs w:val="20"/>
              </w:rPr>
            </w:pPr>
            <w:r>
              <w:rPr>
                <w:rFonts w:asciiTheme="minorHAnsi" w:hAnsiTheme="minorHAnsi"/>
                <w:sz w:val="16"/>
                <w:szCs w:val="20"/>
              </w:rPr>
              <w:t>7. Waiting list figures for 2011-12 (left hand columns in the table) were extracted on 1st May 2012 due to the implementation of a new electronic Housing Management System.</w:t>
            </w:r>
          </w:p>
          <w:p w:rsidR="002F4E1D" w:rsidRDefault="002F4E1D" w:rsidP="002F4E1D">
            <w:pPr>
              <w:rPr>
                <w:rFonts w:asciiTheme="minorHAnsi" w:hAnsiTheme="minorHAnsi"/>
                <w:sz w:val="16"/>
                <w:szCs w:val="20"/>
              </w:rPr>
            </w:pPr>
            <w:r>
              <w:rPr>
                <w:rFonts w:asciiTheme="minorHAnsi" w:hAnsiTheme="minorHAnsi"/>
                <w:sz w:val="16"/>
                <w:szCs w:val="20"/>
              </w:rPr>
              <w:t>8. Due to the introduction of the new Housing Management System and a change to the annual renewal process for applicants the number of waiting list applicants for 2011-12 (at 31 March) is considered to be a significant undercount.</w:t>
            </w:r>
          </w:p>
          <w:p w:rsidR="002F4E1D" w:rsidRDefault="002F4E1D" w:rsidP="002F4E1D">
            <w:pPr>
              <w:rPr>
                <w:rFonts w:asciiTheme="minorHAnsi" w:hAnsiTheme="minorHAnsi"/>
                <w:sz w:val="16"/>
                <w:szCs w:val="20"/>
              </w:rPr>
            </w:pPr>
          </w:p>
          <w:p w:rsidR="002F4E1D" w:rsidRDefault="002F4E1D" w:rsidP="002F4E1D">
            <w:pPr>
              <w:rPr>
                <w:rFonts w:asciiTheme="minorHAnsi" w:hAnsiTheme="minorHAnsi"/>
                <w:sz w:val="20"/>
                <w:szCs w:val="20"/>
              </w:rPr>
            </w:pPr>
          </w:p>
          <w:p w:rsidR="002F4E1D" w:rsidRDefault="002F4E1D" w:rsidP="002F4E1D">
            <w:pPr>
              <w:rPr>
                <w:rFonts w:asciiTheme="minorHAnsi" w:hAnsiTheme="minorHAnsi"/>
                <w:sz w:val="20"/>
                <w:szCs w:val="20"/>
              </w:rPr>
            </w:pPr>
          </w:p>
          <w:p w:rsidR="002F4E1D" w:rsidRDefault="002F4E1D" w:rsidP="002F4E1D">
            <w:pPr>
              <w:rPr>
                <w:rFonts w:asciiTheme="minorHAnsi" w:hAnsiTheme="minorHAnsi"/>
                <w:sz w:val="20"/>
                <w:szCs w:val="20"/>
              </w:rPr>
            </w:pPr>
          </w:p>
          <w:p w:rsidR="002F4E1D" w:rsidRDefault="002F4E1D" w:rsidP="002F4E1D">
            <w:pPr>
              <w:rPr>
                <w:rFonts w:asciiTheme="minorHAnsi" w:hAnsiTheme="minorHAnsi"/>
                <w:sz w:val="20"/>
                <w:szCs w:val="20"/>
              </w:rPr>
            </w:pPr>
          </w:p>
          <w:p w:rsidR="002F4E1D" w:rsidRDefault="002F4E1D" w:rsidP="002F4E1D">
            <w:pPr>
              <w:rPr>
                <w:rFonts w:asciiTheme="minorHAnsi" w:hAnsiTheme="minorHAnsi"/>
                <w:sz w:val="20"/>
                <w:szCs w:val="20"/>
              </w:rPr>
            </w:pPr>
            <w:r>
              <w:rPr>
                <w:rFonts w:asciiTheme="minorHAnsi" w:hAnsiTheme="minorHAnsi"/>
                <w:sz w:val="20"/>
                <w:szCs w:val="20"/>
              </w:rPr>
              <w:t xml:space="preserve">’Housing Stress’ refers to those applicants who have 30 or more points under the Common Selection Scheme. The ‘Number of applicants in Housing Stress’ published in the NI Housing Statistics report covers new applicants only to the Common Waiting List i.e. those with no existing Northern Ireland Housing Executive/Housing Association tenancy.  </w:t>
            </w:r>
          </w:p>
          <w:p w:rsidR="002F4E1D" w:rsidRDefault="002F4E1D" w:rsidP="002F4E1D">
            <w:pPr>
              <w:rPr>
                <w:rFonts w:asciiTheme="minorHAnsi" w:hAnsiTheme="minorHAnsi"/>
                <w:sz w:val="16"/>
                <w:szCs w:val="20"/>
              </w:rPr>
            </w:pPr>
          </w:p>
          <w:p w:rsidR="002F4E1D" w:rsidRDefault="002F4E1D" w:rsidP="002F4E1D">
            <w:pPr>
              <w:rPr>
                <w:rFonts w:asciiTheme="minorHAnsi" w:hAnsiTheme="minorHAnsi"/>
                <w:color w:val="00B050"/>
                <w:sz w:val="20"/>
                <w:szCs w:val="20"/>
              </w:rPr>
            </w:pPr>
            <w:r w:rsidRPr="002F4E1D">
              <w:rPr>
                <w:rFonts w:asciiTheme="minorHAnsi" w:hAnsiTheme="minorHAnsi"/>
                <w:color w:val="00B050"/>
                <w:sz w:val="20"/>
                <w:szCs w:val="20"/>
              </w:rPr>
              <w:t>The number of applica</w:t>
            </w:r>
            <w:r w:rsidR="00EA25BE">
              <w:rPr>
                <w:rFonts w:asciiTheme="minorHAnsi" w:hAnsiTheme="minorHAnsi"/>
                <w:color w:val="00B050"/>
                <w:sz w:val="20"/>
                <w:szCs w:val="20"/>
              </w:rPr>
              <w:t>nts in housing stress was 27,745 in 2019-20; an increase of 5.1% from 2018-19 and 25.6</w:t>
            </w:r>
            <w:r w:rsidRPr="002F4E1D">
              <w:rPr>
                <w:rFonts w:asciiTheme="minorHAnsi" w:hAnsiTheme="minorHAnsi"/>
                <w:color w:val="00B050"/>
                <w:sz w:val="20"/>
                <w:szCs w:val="20"/>
              </w:rPr>
              <w:t>% from</w:t>
            </w:r>
            <w:r w:rsidR="00EA25BE">
              <w:rPr>
                <w:rFonts w:asciiTheme="minorHAnsi" w:hAnsiTheme="minorHAnsi"/>
                <w:color w:val="00B050"/>
                <w:sz w:val="20"/>
                <w:szCs w:val="20"/>
              </w:rPr>
              <w:t xml:space="preserve"> the baseline period in 2014-15</w:t>
            </w:r>
            <w:r>
              <w:rPr>
                <w:rFonts w:asciiTheme="minorHAnsi" w:hAnsiTheme="minorHAnsi"/>
                <w:color w:val="00B050"/>
                <w:sz w:val="20"/>
                <w:szCs w:val="20"/>
              </w:rPr>
              <w:t xml:space="preserve">. </w:t>
            </w:r>
          </w:p>
          <w:p w:rsidR="002F4E1D" w:rsidRDefault="002F4E1D" w:rsidP="002F4E1D">
            <w:pPr>
              <w:rPr>
                <w:rFonts w:asciiTheme="minorHAnsi" w:hAnsiTheme="minorHAnsi"/>
                <w:sz w:val="14"/>
                <w:szCs w:val="20"/>
              </w:rPr>
            </w:pPr>
          </w:p>
          <w:p w:rsidR="00A85CFB" w:rsidRPr="00B8684A" w:rsidRDefault="002F4E1D" w:rsidP="002F4E1D">
            <w:pPr>
              <w:rPr>
                <w:rFonts w:asciiTheme="minorHAnsi" w:hAnsiTheme="minorHAnsi"/>
                <w:sz w:val="20"/>
                <w:szCs w:val="20"/>
                <w:highlight w:val="yellow"/>
              </w:rPr>
            </w:pPr>
            <w:r>
              <w:rPr>
                <w:rFonts w:asciiTheme="minorHAnsi" w:hAnsiTheme="minorHAnsi"/>
                <w:sz w:val="20"/>
                <w:szCs w:val="20"/>
              </w:rPr>
              <w:lastRenderedPageBreak/>
              <w:t>Note that due to the introduction of the new Housing Management System and a change to the annual renewal process for waiting list applicants the number of waiting list applicants for 2011-12 is considered to be a significant undercount.</w:t>
            </w:r>
          </w:p>
        </w:tc>
      </w:tr>
      <w:tr w:rsidR="00A85CFB" w:rsidRPr="008F671D" w:rsidTr="00952736">
        <w:trPr>
          <w:trHeight w:val="687"/>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u w:val="single"/>
              </w:rPr>
            </w:pPr>
            <w:r w:rsidRPr="00345E2E">
              <w:rPr>
                <w:rFonts w:asciiTheme="minorHAnsi" w:hAnsiTheme="minorHAnsi"/>
                <w:b/>
                <w:sz w:val="20"/>
                <w:szCs w:val="20"/>
                <w:u w:val="single"/>
              </w:rPr>
              <w:lastRenderedPageBreak/>
              <w:t xml:space="preserve">For Survey Data </w:t>
            </w:r>
          </w:p>
          <w:p w:rsidR="00A85CFB" w:rsidRPr="00345E2E" w:rsidRDefault="00A85CFB" w:rsidP="00C06DF4">
            <w:pPr>
              <w:rPr>
                <w:rFonts w:asciiTheme="minorHAnsi" w:hAnsiTheme="minorHAnsi"/>
                <w:b/>
                <w:sz w:val="20"/>
                <w:szCs w:val="20"/>
              </w:rPr>
            </w:pPr>
            <w:r>
              <w:rPr>
                <w:rFonts w:asciiTheme="minorHAnsi" w:hAnsiTheme="minorHAnsi"/>
                <w:b/>
                <w:sz w:val="20"/>
                <w:szCs w:val="20"/>
              </w:rPr>
              <w:t>S</w:t>
            </w:r>
            <w:r w:rsidRPr="00345E2E">
              <w:rPr>
                <w:rFonts w:asciiTheme="minorHAnsi" w:hAnsiTheme="minorHAnsi"/>
                <w:b/>
                <w:sz w:val="20"/>
                <w:szCs w:val="20"/>
              </w:rPr>
              <w:t>ample size and confidence interval for the latest available year:</w:t>
            </w:r>
          </w:p>
        </w:tc>
        <w:tc>
          <w:tcPr>
            <w:tcW w:w="7229" w:type="dxa"/>
            <w:gridSpan w:val="2"/>
            <w:vAlign w:val="center"/>
          </w:tcPr>
          <w:p w:rsidR="00A85CFB" w:rsidRPr="008F671D" w:rsidRDefault="00A85CFB" w:rsidP="00235BC7">
            <w:pPr>
              <w:rPr>
                <w:rFonts w:asciiTheme="minorHAnsi" w:hAnsiTheme="minorHAnsi"/>
                <w:sz w:val="20"/>
              </w:rPr>
            </w:pPr>
          </w:p>
        </w:tc>
      </w:tr>
      <w:tr w:rsidR="00977923" w:rsidRPr="008F671D" w:rsidTr="00952736">
        <w:trPr>
          <w:trHeight w:val="1134"/>
        </w:trPr>
        <w:tc>
          <w:tcPr>
            <w:tcW w:w="3369" w:type="dxa"/>
            <w:shd w:val="clear" w:color="auto" w:fill="D9D9D9" w:themeFill="background1" w:themeFillShade="D9"/>
            <w:vAlign w:val="center"/>
          </w:tcPr>
          <w:p w:rsidR="00977923" w:rsidRPr="008F671D" w:rsidRDefault="00977923" w:rsidP="00FB47D0">
            <w:pPr>
              <w:rPr>
                <w:rFonts w:asciiTheme="minorHAnsi" w:hAnsiTheme="minorHAnsi"/>
                <w:b/>
                <w:sz w:val="20"/>
              </w:rPr>
            </w:pPr>
            <w:r w:rsidRPr="008F671D">
              <w:rPr>
                <w:rFonts w:asciiTheme="minorHAnsi" w:hAnsiTheme="minorHAnsi"/>
                <w:b/>
                <w:sz w:val="20"/>
              </w:rPr>
              <w:t>Please indicate whether UK/</w:t>
            </w:r>
            <w:proofErr w:type="spellStart"/>
            <w:r w:rsidRPr="008F671D">
              <w:rPr>
                <w:rFonts w:asciiTheme="minorHAnsi" w:hAnsiTheme="minorHAnsi"/>
                <w:b/>
                <w:sz w:val="20"/>
              </w:rPr>
              <w:t>R</w:t>
            </w:r>
            <w:r w:rsidR="00FB47D0" w:rsidRPr="008F671D">
              <w:rPr>
                <w:rFonts w:asciiTheme="minorHAnsi" w:hAnsiTheme="minorHAnsi"/>
                <w:b/>
                <w:sz w:val="20"/>
              </w:rPr>
              <w:t>o</w:t>
            </w:r>
            <w:r w:rsidRPr="008F671D">
              <w:rPr>
                <w:rFonts w:asciiTheme="minorHAnsi" w:hAnsiTheme="minorHAnsi"/>
                <w:b/>
                <w:sz w:val="20"/>
              </w:rPr>
              <w:t>I</w:t>
            </w:r>
            <w:proofErr w:type="spellEnd"/>
            <w:r w:rsidRPr="008F671D">
              <w:rPr>
                <w:rFonts w:asciiTheme="minorHAnsi" w:hAnsiTheme="minorHAnsi"/>
                <w:b/>
                <w:sz w:val="20"/>
              </w:rPr>
              <w:t>/International Comparisons are available</w:t>
            </w:r>
            <w:r w:rsidR="00FB47D0" w:rsidRPr="008F671D">
              <w:rPr>
                <w:rFonts w:asciiTheme="minorHAnsi" w:hAnsiTheme="minorHAnsi"/>
                <w:b/>
                <w:sz w:val="20"/>
              </w:rPr>
              <w:t>:</w:t>
            </w:r>
          </w:p>
        </w:tc>
        <w:tc>
          <w:tcPr>
            <w:tcW w:w="7229" w:type="dxa"/>
            <w:gridSpan w:val="2"/>
            <w:vAlign w:val="center"/>
          </w:tcPr>
          <w:p w:rsidR="002F4E1D" w:rsidRDefault="002F4E1D" w:rsidP="002F4E1D">
            <w:pPr>
              <w:rPr>
                <w:rFonts w:asciiTheme="minorHAnsi" w:hAnsiTheme="minorHAnsi"/>
                <w:sz w:val="20"/>
                <w:szCs w:val="20"/>
              </w:rPr>
            </w:pPr>
            <w:r>
              <w:rPr>
                <w:rFonts w:asciiTheme="minorHAnsi" w:hAnsiTheme="minorHAnsi"/>
                <w:sz w:val="20"/>
                <w:szCs w:val="20"/>
              </w:rPr>
              <w:t>UK: No   UK Regional: No</w:t>
            </w:r>
          </w:p>
          <w:p w:rsidR="002F4E1D" w:rsidRDefault="002F4E1D" w:rsidP="002F4E1D">
            <w:pPr>
              <w:rPr>
                <w:rFonts w:asciiTheme="minorHAnsi" w:hAnsiTheme="minorHAnsi"/>
                <w:sz w:val="20"/>
                <w:szCs w:val="20"/>
              </w:rPr>
            </w:pPr>
            <w:proofErr w:type="spellStart"/>
            <w:r>
              <w:rPr>
                <w:rFonts w:asciiTheme="minorHAnsi" w:hAnsiTheme="minorHAnsi"/>
                <w:sz w:val="20"/>
                <w:szCs w:val="20"/>
              </w:rPr>
              <w:t>RoI</w:t>
            </w:r>
            <w:proofErr w:type="spellEnd"/>
            <w:r>
              <w:rPr>
                <w:rFonts w:asciiTheme="minorHAnsi" w:hAnsiTheme="minorHAnsi"/>
                <w:sz w:val="20"/>
                <w:szCs w:val="20"/>
              </w:rPr>
              <w:t>: No</w:t>
            </w:r>
          </w:p>
          <w:p w:rsidR="000E75A3" w:rsidRDefault="002F4E1D" w:rsidP="002F4E1D">
            <w:pPr>
              <w:rPr>
                <w:rFonts w:asciiTheme="minorHAnsi" w:hAnsiTheme="minorHAnsi"/>
                <w:sz w:val="20"/>
              </w:rPr>
            </w:pPr>
            <w:r>
              <w:rPr>
                <w:rFonts w:asciiTheme="minorHAnsi" w:hAnsiTheme="minorHAnsi"/>
                <w:sz w:val="20"/>
                <w:szCs w:val="20"/>
              </w:rPr>
              <w:t>International (please specify countries): No</w:t>
            </w:r>
          </w:p>
          <w:p w:rsidR="00404AD8" w:rsidRPr="008F671D" w:rsidRDefault="00404AD8" w:rsidP="000E75A3">
            <w:pPr>
              <w:rPr>
                <w:rFonts w:asciiTheme="minorHAnsi" w:hAnsiTheme="minorHAnsi"/>
                <w:sz w:val="20"/>
              </w:rPr>
            </w:pPr>
          </w:p>
        </w:tc>
      </w:tr>
      <w:tr w:rsidR="00977923" w:rsidRPr="008F671D" w:rsidTr="00952736">
        <w:trPr>
          <w:trHeight w:val="1134"/>
        </w:trPr>
        <w:tc>
          <w:tcPr>
            <w:tcW w:w="3369" w:type="dxa"/>
            <w:shd w:val="clear" w:color="auto" w:fill="D9D9D9" w:themeFill="background1" w:themeFillShade="D9"/>
            <w:vAlign w:val="center"/>
          </w:tcPr>
          <w:p w:rsidR="00977923" w:rsidRPr="008F671D" w:rsidRDefault="001668A0" w:rsidP="001849F8">
            <w:pPr>
              <w:rPr>
                <w:rFonts w:asciiTheme="minorHAnsi" w:hAnsiTheme="minorHAnsi"/>
                <w:b/>
                <w:sz w:val="20"/>
              </w:rPr>
            </w:pPr>
            <w:r w:rsidRPr="008F671D">
              <w:rPr>
                <w:rFonts w:asciiTheme="minorHAnsi" w:hAnsiTheme="minorHAnsi"/>
                <w:b/>
                <w:sz w:val="20"/>
              </w:rPr>
              <w:t>Please specify</w:t>
            </w:r>
            <w:r w:rsidR="00977923" w:rsidRPr="008F671D">
              <w:rPr>
                <w:rFonts w:asciiTheme="minorHAnsi" w:hAnsiTheme="minorHAnsi"/>
                <w:b/>
                <w:sz w:val="20"/>
              </w:rPr>
              <w:t xml:space="preserve"> any</w:t>
            </w:r>
            <w:r w:rsidR="001849F8">
              <w:rPr>
                <w:rFonts w:asciiTheme="minorHAnsi" w:hAnsiTheme="minorHAnsi"/>
                <w:b/>
                <w:sz w:val="20"/>
              </w:rPr>
              <w:t xml:space="preserve"> issues </w:t>
            </w:r>
            <w:r w:rsidR="00977923" w:rsidRPr="008F671D">
              <w:rPr>
                <w:rFonts w:asciiTheme="minorHAnsi" w:hAnsiTheme="minorHAnsi"/>
                <w:b/>
                <w:sz w:val="20"/>
              </w:rPr>
              <w:t xml:space="preserve">in relation to </w:t>
            </w:r>
            <w:r w:rsidR="001849F8">
              <w:rPr>
                <w:rFonts w:asciiTheme="minorHAnsi" w:hAnsiTheme="minorHAnsi"/>
                <w:b/>
                <w:sz w:val="20"/>
              </w:rPr>
              <w:t xml:space="preserve">this data. For example, data limitations, future </w:t>
            </w:r>
            <w:r w:rsidR="00977923" w:rsidRPr="008F671D">
              <w:rPr>
                <w:rFonts w:asciiTheme="minorHAnsi" w:hAnsiTheme="minorHAnsi"/>
                <w:b/>
                <w:sz w:val="20"/>
              </w:rPr>
              <w:t>data availability</w:t>
            </w:r>
            <w:r w:rsidR="001849F8">
              <w:rPr>
                <w:rFonts w:asciiTheme="minorHAnsi" w:hAnsiTheme="minorHAnsi"/>
                <w:b/>
                <w:sz w:val="20"/>
              </w:rPr>
              <w:t>, any</w:t>
            </w:r>
            <w:r w:rsidR="00977923" w:rsidRPr="008F671D">
              <w:rPr>
                <w:rFonts w:asciiTheme="minorHAnsi" w:hAnsiTheme="minorHAnsi"/>
                <w:b/>
                <w:sz w:val="20"/>
              </w:rPr>
              <w:t xml:space="preserve"> changes to methodology </w:t>
            </w:r>
          </w:p>
        </w:tc>
        <w:tc>
          <w:tcPr>
            <w:tcW w:w="7229" w:type="dxa"/>
            <w:gridSpan w:val="2"/>
            <w:vAlign w:val="center"/>
          </w:tcPr>
          <w:p w:rsidR="005E386D" w:rsidRDefault="002F4E1D" w:rsidP="00823C0A">
            <w:pPr>
              <w:rPr>
                <w:rFonts w:asciiTheme="minorHAnsi" w:hAnsiTheme="minorHAnsi"/>
                <w:sz w:val="20"/>
                <w:szCs w:val="20"/>
              </w:rPr>
            </w:pPr>
            <w:r>
              <w:rPr>
                <w:rFonts w:asciiTheme="minorHAnsi" w:hAnsiTheme="minorHAnsi"/>
                <w:b/>
                <w:sz w:val="20"/>
                <w:szCs w:val="20"/>
              </w:rPr>
              <w:t>Note</w:t>
            </w:r>
            <w:r>
              <w:rPr>
                <w:rFonts w:asciiTheme="minorHAnsi" w:hAnsiTheme="minorHAnsi"/>
                <w:sz w:val="20"/>
                <w:szCs w:val="20"/>
              </w:rPr>
              <w:t xml:space="preserve"> - The ‘Number of applicants in Housing Stress’ published in the NI Housing Statistics report covers new applicants only i.e. those with no existing Northern Ireland Housing Executive/Housing Association tenancy.</w:t>
            </w:r>
          </w:p>
          <w:p w:rsidR="002F4E1D" w:rsidRPr="008F671D" w:rsidRDefault="002F4E1D" w:rsidP="00823C0A">
            <w:pPr>
              <w:rPr>
                <w:rFonts w:asciiTheme="minorHAnsi" w:hAnsiTheme="minorHAnsi"/>
                <w:sz w:val="20"/>
              </w:rPr>
            </w:pPr>
            <w:r>
              <w:rPr>
                <w:rFonts w:asciiTheme="minorHAnsi" w:hAnsiTheme="minorHAnsi"/>
                <w:sz w:val="20"/>
                <w:szCs w:val="20"/>
              </w:rPr>
              <w:t>Also note that due to the introduction of the new Housing Management System and a change to the annual renewal process for waiting list applicants the number of waiting list applicants for 2011-12 is considered to be a significant undercount.</w:t>
            </w:r>
          </w:p>
        </w:tc>
      </w:tr>
      <w:tr w:rsidR="00A85CFB" w:rsidRPr="008F671D" w:rsidTr="008F671D">
        <w:trPr>
          <w:trHeight w:val="340"/>
        </w:trPr>
        <w:tc>
          <w:tcPr>
            <w:tcW w:w="9180" w:type="dxa"/>
            <w:gridSpan w:val="2"/>
            <w:shd w:val="clear" w:color="auto" w:fill="D9D9D9" w:themeFill="background1" w:themeFillShade="D9"/>
            <w:vAlign w:val="center"/>
          </w:tcPr>
          <w:p w:rsidR="00A85CFB" w:rsidRPr="00907690" w:rsidRDefault="00A85CFB" w:rsidP="00C06DF4">
            <w:pPr>
              <w:rPr>
                <w:rFonts w:asciiTheme="minorHAnsi" w:hAnsiTheme="minorHAnsi"/>
                <w:b/>
                <w:sz w:val="20"/>
                <w:szCs w:val="20"/>
              </w:rPr>
            </w:pPr>
            <w:r w:rsidRPr="00907690">
              <w:rPr>
                <w:rFonts w:asciiTheme="minorHAnsi" w:hAnsiTheme="minorHAnsi"/>
                <w:b/>
                <w:sz w:val="20"/>
                <w:szCs w:val="20"/>
              </w:rPr>
              <w:t>Is this measure being used to monitor performance against your current/latest Departmental/ Agency Plan</w:t>
            </w:r>
          </w:p>
        </w:tc>
        <w:tc>
          <w:tcPr>
            <w:tcW w:w="1418" w:type="dxa"/>
          </w:tcPr>
          <w:p w:rsidR="004A3E72" w:rsidRDefault="004A3E72" w:rsidP="004A3E72">
            <w:pPr>
              <w:rPr>
                <w:rFonts w:asciiTheme="minorHAnsi" w:hAnsiTheme="minorHAnsi"/>
                <w:sz w:val="20"/>
              </w:rPr>
            </w:pPr>
            <w:r>
              <w:rPr>
                <w:rFonts w:asciiTheme="minorHAnsi" w:hAnsiTheme="minorHAnsi"/>
                <w:sz w:val="20"/>
              </w:rPr>
              <w:t xml:space="preserve">The time series of applicants in Housing Stress is included in the NIHE Homelessness Strategy: </w:t>
            </w:r>
          </w:p>
          <w:p w:rsidR="004A3E72" w:rsidRDefault="005C4993" w:rsidP="004A3E72">
            <w:pPr>
              <w:rPr>
                <w:rFonts w:asciiTheme="minorHAnsi" w:hAnsiTheme="minorHAnsi"/>
                <w:sz w:val="20"/>
              </w:rPr>
            </w:pPr>
            <w:hyperlink r:id="rId12" w:history="1">
              <w:r w:rsidR="004A3E72">
                <w:rPr>
                  <w:rStyle w:val="Hyperlink"/>
                  <w:rFonts w:asciiTheme="minorHAnsi" w:hAnsiTheme="minorHAnsi"/>
                  <w:sz w:val="20"/>
                </w:rPr>
                <w:t>https://www.nihe.gov.uk/northern_ireland_homelessness_strategy.pdf</w:t>
              </w:r>
            </w:hyperlink>
          </w:p>
          <w:p w:rsidR="004A3E72" w:rsidRDefault="004A3E72" w:rsidP="004A3E72">
            <w:pPr>
              <w:rPr>
                <w:rFonts w:asciiTheme="minorHAnsi" w:hAnsiTheme="minorHAnsi"/>
                <w:sz w:val="20"/>
              </w:rPr>
            </w:pPr>
          </w:p>
          <w:p w:rsidR="004A3E72" w:rsidRDefault="004A3E72" w:rsidP="004A3E72">
            <w:pPr>
              <w:rPr>
                <w:rFonts w:asciiTheme="minorHAnsi" w:hAnsiTheme="minorHAnsi"/>
                <w:sz w:val="20"/>
              </w:rPr>
            </w:pPr>
            <w:r>
              <w:rPr>
                <w:rFonts w:asciiTheme="minorHAnsi" w:hAnsiTheme="minorHAnsi"/>
                <w:sz w:val="20"/>
              </w:rPr>
              <w:t>However specific monitoring of this measure is not discussed. It should also be noted that the average length of time is significantly impacted by a small number of “outlier cases” where for a variety of reasons an individual has not been able to have their housing need addressed.</w:t>
            </w:r>
          </w:p>
          <w:p w:rsidR="004A3E72" w:rsidRDefault="004A3E72" w:rsidP="004A3E72">
            <w:pPr>
              <w:rPr>
                <w:rFonts w:asciiTheme="minorHAnsi" w:hAnsiTheme="minorHAnsi"/>
                <w:sz w:val="20"/>
                <w:szCs w:val="20"/>
                <w:highlight w:val="yellow"/>
              </w:rPr>
            </w:pPr>
          </w:p>
          <w:p w:rsidR="00A85CFB" w:rsidRPr="008F671D" w:rsidRDefault="004A3E72" w:rsidP="004A3E72">
            <w:pPr>
              <w:rPr>
                <w:rFonts w:asciiTheme="minorHAnsi" w:hAnsiTheme="minorHAnsi"/>
                <w:sz w:val="20"/>
              </w:rPr>
            </w:pPr>
            <w:r>
              <w:rPr>
                <w:rFonts w:asciiTheme="minorHAnsi" w:hAnsiTheme="minorHAnsi"/>
                <w:sz w:val="20"/>
                <w:szCs w:val="20"/>
              </w:rPr>
              <w:t>Please note the Department and NIHE also focus on a further subset of the Housing Stress figure:  full duty applicants that are deemed statutorily homeless, for whom NIHE have a duty to provide suitable accommodation. No such duty applies to Housing stress applicants.</w:t>
            </w:r>
          </w:p>
        </w:tc>
      </w:tr>
      <w:tr w:rsidR="00A85CFB" w:rsidRPr="008F671D" w:rsidTr="00FB47D0">
        <w:tc>
          <w:tcPr>
            <w:tcW w:w="9180" w:type="dxa"/>
            <w:gridSpan w:val="2"/>
            <w:shd w:val="clear" w:color="auto" w:fill="D9D9D9" w:themeFill="background1" w:themeFillShade="D9"/>
            <w:vAlign w:val="center"/>
          </w:tcPr>
          <w:p w:rsidR="00A85CFB" w:rsidRPr="00907690" w:rsidRDefault="00A85CFB" w:rsidP="00C06DF4">
            <w:pPr>
              <w:rPr>
                <w:rFonts w:asciiTheme="minorHAnsi" w:hAnsiTheme="minorHAnsi"/>
                <w:b/>
                <w:sz w:val="20"/>
                <w:szCs w:val="20"/>
              </w:rPr>
            </w:pPr>
            <w:r w:rsidRPr="00907690">
              <w:rPr>
                <w:rFonts w:asciiTheme="minorHAnsi" w:hAnsiTheme="minorHAnsi"/>
                <w:b/>
                <w:sz w:val="20"/>
                <w:szCs w:val="20"/>
              </w:rPr>
              <w:t>If yes, please specify any particular baseline point/year for the measure which is being for performance monitoring purposes</w:t>
            </w:r>
          </w:p>
        </w:tc>
        <w:tc>
          <w:tcPr>
            <w:tcW w:w="1418" w:type="dxa"/>
          </w:tcPr>
          <w:p w:rsidR="00A85CFB" w:rsidRPr="008F671D" w:rsidRDefault="00A85CFB" w:rsidP="003E6FDF">
            <w:pPr>
              <w:rPr>
                <w:rFonts w:asciiTheme="minorHAnsi" w:hAnsiTheme="minorHAnsi"/>
                <w:sz w:val="20"/>
              </w:rPr>
            </w:pPr>
          </w:p>
        </w:tc>
      </w:tr>
    </w:tbl>
    <w:p w:rsidR="005B441A" w:rsidRDefault="005B441A" w:rsidP="005B441A">
      <w:pPr>
        <w:rPr>
          <w:rFonts w:asciiTheme="minorHAnsi" w:hAnsiTheme="minorHAnsi"/>
          <w:sz w:val="20"/>
          <w:szCs w:val="20"/>
        </w:rPr>
      </w:pPr>
    </w:p>
    <w:tbl>
      <w:tblPr>
        <w:tblStyle w:val="TableGrid1"/>
        <w:tblW w:w="10632" w:type="dxa"/>
        <w:tblInd w:w="-5" w:type="dxa"/>
        <w:tblLayout w:type="fixed"/>
        <w:tblLook w:val="04A0" w:firstRow="1" w:lastRow="0" w:firstColumn="1" w:lastColumn="0" w:noHBand="0" w:noVBand="1"/>
      </w:tblPr>
      <w:tblGrid>
        <w:gridCol w:w="3402"/>
        <w:gridCol w:w="7230"/>
      </w:tblGrid>
      <w:tr w:rsidR="005B441A" w:rsidRPr="00DC13FC" w:rsidTr="005B441A">
        <w:tc>
          <w:tcPr>
            <w:tcW w:w="3402" w:type="dxa"/>
            <w:shd w:val="clear" w:color="auto" w:fill="D9D9D9" w:themeFill="background1" w:themeFillShade="D9"/>
          </w:tcPr>
          <w:p w:rsidR="005B441A" w:rsidRPr="00DC13FC" w:rsidRDefault="005B441A" w:rsidP="00F945FE">
            <w:pPr>
              <w:rPr>
                <w:rFonts w:asciiTheme="minorHAnsi" w:hAnsiTheme="minorHAnsi"/>
                <w:b/>
                <w:sz w:val="20"/>
                <w:szCs w:val="20"/>
              </w:rPr>
            </w:pPr>
            <w:r w:rsidRPr="00DC13FC">
              <w:rPr>
                <w:rFonts w:asciiTheme="minorHAnsi" w:hAnsiTheme="minorHAnsi"/>
                <w:b/>
                <w:sz w:val="20"/>
                <w:szCs w:val="20"/>
              </w:rPr>
              <w:t>Technical Assessment Panel</w:t>
            </w:r>
          </w:p>
        </w:tc>
        <w:tc>
          <w:tcPr>
            <w:tcW w:w="7230" w:type="dxa"/>
          </w:tcPr>
          <w:p w:rsidR="005B441A" w:rsidRPr="00DC13FC" w:rsidRDefault="005B441A" w:rsidP="00F945FE">
            <w:pPr>
              <w:rPr>
                <w:rFonts w:asciiTheme="minorHAnsi" w:hAnsiTheme="minorHAnsi"/>
                <w:sz w:val="20"/>
                <w:szCs w:val="20"/>
              </w:rPr>
            </w:pPr>
          </w:p>
        </w:tc>
      </w:tr>
      <w:tr w:rsidR="005B441A" w:rsidRPr="00DC13FC" w:rsidTr="005B441A">
        <w:tc>
          <w:tcPr>
            <w:tcW w:w="3402" w:type="dxa"/>
            <w:shd w:val="clear" w:color="auto" w:fill="D9D9D9" w:themeFill="background1" w:themeFillShade="D9"/>
          </w:tcPr>
          <w:p w:rsidR="005B441A" w:rsidRPr="00DC13FC" w:rsidRDefault="005B441A" w:rsidP="00F945FE">
            <w:pPr>
              <w:rPr>
                <w:rFonts w:asciiTheme="minorHAnsi" w:hAnsiTheme="minorHAnsi"/>
                <w:b/>
                <w:sz w:val="20"/>
                <w:szCs w:val="20"/>
              </w:rPr>
            </w:pPr>
            <w:r w:rsidRPr="00DC13FC">
              <w:rPr>
                <w:rFonts w:asciiTheme="minorHAnsi" w:hAnsiTheme="minorHAnsi"/>
                <w:b/>
                <w:sz w:val="20"/>
                <w:szCs w:val="20"/>
              </w:rPr>
              <w:t>Baseline Year</w:t>
            </w:r>
          </w:p>
        </w:tc>
        <w:tc>
          <w:tcPr>
            <w:tcW w:w="7230" w:type="dxa"/>
          </w:tcPr>
          <w:p w:rsidR="005B441A" w:rsidRPr="00DC13FC" w:rsidRDefault="005B441A" w:rsidP="00F945FE">
            <w:pPr>
              <w:rPr>
                <w:rFonts w:asciiTheme="minorHAnsi" w:hAnsiTheme="minorHAnsi"/>
                <w:sz w:val="20"/>
                <w:szCs w:val="20"/>
              </w:rPr>
            </w:pPr>
          </w:p>
        </w:tc>
      </w:tr>
      <w:tr w:rsidR="005B441A" w:rsidRPr="00DC13FC" w:rsidTr="005B441A">
        <w:trPr>
          <w:trHeight w:val="496"/>
        </w:trPr>
        <w:tc>
          <w:tcPr>
            <w:tcW w:w="3402" w:type="dxa"/>
            <w:shd w:val="clear" w:color="auto" w:fill="D9D9D9" w:themeFill="background1" w:themeFillShade="D9"/>
          </w:tcPr>
          <w:p w:rsidR="005B441A" w:rsidRPr="00DC13FC" w:rsidRDefault="005B441A" w:rsidP="00F945FE">
            <w:pPr>
              <w:rPr>
                <w:rFonts w:asciiTheme="minorHAnsi" w:hAnsiTheme="minorHAnsi"/>
                <w:b/>
                <w:sz w:val="20"/>
                <w:szCs w:val="20"/>
              </w:rPr>
            </w:pPr>
            <w:r w:rsidRPr="00DC13FC">
              <w:rPr>
                <w:rFonts w:asciiTheme="minorHAnsi" w:hAnsiTheme="minorHAnsi"/>
                <w:b/>
                <w:sz w:val="20"/>
                <w:szCs w:val="20"/>
              </w:rPr>
              <w:t>Criteria for reporting change from the baseline</w:t>
            </w:r>
          </w:p>
        </w:tc>
        <w:tc>
          <w:tcPr>
            <w:tcW w:w="7230" w:type="dxa"/>
          </w:tcPr>
          <w:p w:rsidR="005B441A" w:rsidRPr="00DC13FC" w:rsidRDefault="005B441A" w:rsidP="003C4441">
            <w:pPr>
              <w:rPr>
                <w:rFonts w:asciiTheme="minorHAnsi" w:hAnsiTheme="minorHAnsi"/>
                <w:sz w:val="20"/>
                <w:szCs w:val="20"/>
              </w:rPr>
            </w:pPr>
          </w:p>
        </w:tc>
      </w:tr>
    </w:tbl>
    <w:p w:rsidR="005B441A" w:rsidRPr="008F671D" w:rsidRDefault="005B441A">
      <w:pPr>
        <w:rPr>
          <w:rFonts w:asciiTheme="minorHAnsi" w:hAnsiTheme="minorHAnsi"/>
        </w:rPr>
      </w:pPr>
    </w:p>
    <w:tbl>
      <w:tblPr>
        <w:tblStyle w:val="TableGrid"/>
        <w:tblW w:w="9658" w:type="dxa"/>
        <w:tblLook w:val="04A0" w:firstRow="1" w:lastRow="0" w:firstColumn="1" w:lastColumn="0" w:noHBand="0" w:noVBand="1"/>
      </w:tblPr>
      <w:tblGrid>
        <w:gridCol w:w="4219"/>
        <w:gridCol w:w="903"/>
        <w:gridCol w:w="4536"/>
      </w:tblGrid>
      <w:tr w:rsidR="00BD4124" w:rsidRPr="008F671D" w:rsidTr="00823C0A">
        <w:trPr>
          <w:trHeight w:val="454"/>
        </w:trPr>
        <w:tc>
          <w:tcPr>
            <w:tcW w:w="4219" w:type="dxa"/>
            <w:tcBorders>
              <w:top w:val="nil"/>
              <w:left w:val="nil"/>
            </w:tcBorders>
            <w:shd w:val="clear" w:color="auto" w:fill="auto"/>
            <w:vAlign w:val="center"/>
          </w:tcPr>
          <w:p w:rsidR="00BD4124" w:rsidRPr="008F671D" w:rsidRDefault="00823C0A" w:rsidP="00FB47D0">
            <w:pPr>
              <w:rPr>
                <w:rFonts w:asciiTheme="minorHAnsi" w:hAnsiTheme="minorHAnsi"/>
                <w:b/>
                <w:sz w:val="20"/>
              </w:rPr>
            </w:pPr>
            <w:r>
              <w:rPr>
                <w:rFonts w:asciiTheme="minorHAnsi" w:hAnsiTheme="minorHAnsi"/>
                <w:b/>
                <w:sz w:val="20"/>
                <w:szCs w:val="20"/>
              </w:rPr>
              <w:t>Available groupings*</w:t>
            </w:r>
          </w:p>
        </w:tc>
        <w:tc>
          <w:tcPr>
            <w:tcW w:w="903" w:type="dxa"/>
            <w:vAlign w:val="center"/>
          </w:tcPr>
          <w:p w:rsidR="00BD4124" w:rsidRPr="00F81E8B" w:rsidRDefault="00BD4124" w:rsidP="00F81E8B">
            <w:pPr>
              <w:rPr>
                <w:rFonts w:asciiTheme="minorHAnsi" w:hAnsiTheme="minorHAnsi"/>
                <w:b/>
                <w:sz w:val="20"/>
              </w:rPr>
            </w:pPr>
            <w:r w:rsidRPr="00F81E8B">
              <w:rPr>
                <w:rFonts w:asciiTheme="minorHAnsi" w:hAnsiTheme="minorHAnsi"/>
                <w:b/>
                <w:sz w:val="20"/>
              </w:rPr>
              <w:t>Yes/No</w:t>
            </w:r>
          </w:p>
        </w:tc>
        <w:tc>
          <w:tcPr>
            <w:tcW w:w="4536" w:type="dxa"/>
            <w:vAlign w:val="center"/>
          </w:tcPr>
          <w:p w:rsidR="00BD4124" w:rsidRPr="00F81E8B" w:rsidRDefault="00BD4124" w:rsidP="00F81E8B">
            <w:pPr>
              <w:rPr>
                <w:rFonts w:asciiTheme="minorHAnsi" w:hAnsiTheme="minorHAnsi"/>
                <w:b/>
                <w:sz w:val="20"/>
              </w:rPr>
            </w:pPr>
            <w:r w:rsidRPr="00F81E8B">
              <w:rPr>
                <w:rFonts w:asciiTheme="minorHAnsi" w:hAnsiTheme="minorHAnsi"/>
                <w:b/>
                <w:sz w:val="20"/>
              </w:rPr>
              <w:t>Notes</w:t>
            </w:r>
          </w:p>
        </w:tc>
      </w:tr>
      <w:tr w:rsidR="004A3E72" w:rsidRPr="008F671D" w:rsidTr="00823C0A">
        <w:trPr>
          <w:trHeight w:val="454"/>
        </w:trPr>
        <w:tc>
          <w:tcPr>
            <w:tcW w:w="4219" w:type="dxa"/>
            <w:shd w:val="clear" w:color="auto" w:fill="D9D9D9" w:themeFill="background1" w:themeFillShade="D9"/>
            <w:vAlign w:val="center"/>
          </w:tcPr>
          <w:p w:rsidR="004A3E72" w:rsidRPr="00345E2E" w:rsidRDefault="004A3E72" w:rsidP="004A3E72">
            <w:pPr>
              <w:rPr>
                <w:rFonts w:asciiTheme="minorHAnsi" w:hAnsiTheme="minorHAnsi"/>
                <w:b/>
                <w:sz w:val="20"/>
                <w:szCs w:val="20"/>
              </w:rPr>
            </w:pPr>
            <w:r w:rsidRPr="00345E2E">
              <w:rPr>
                <w:rFonts w:asciiTheme="minorHAnsi" w:hAnsiTheme="minorHAnsi"/>
                <w:b/>
                <w:sz w:val="20"/>
                <w:szCs w:val="20"/>
              </w:rPr>
              <w:t xml:space="preserve"> NI Level</w:t>
            </w:r>
          </w:p>
        </w:tc>
        <w:tc>
          <w:tcPr>
            <w:tcW w:w="903" w:type="dxa"/>
            <w:vAlign w:val="center"/>
          </w:tcPr>
          <w:p w:rsidR="004A3E72" w:rsidRDefault="004A3E72" w:rsidP="004A3E72">
            <w:pPr>
              <w:rPr>
                <w:rFonts w:asciiTheme="minorHAnsi" w:hAnsiTheme="minorHAnsi"/>
                <w:sz w:val="20"/>
                <w:szCs w:val="20"/>
              </w:rPr>
            </w:pPr>
            <w:r>
              <w:rPr>
                <w:rFonts w:asciiTheme="minorHAnsi" w:hAnsiTheme="minorHAnsi"/>
                <w:sz w:val="20"/>
                <w:szCs w:val="20"/>
              </w:rPr>
              <w:t>Yes</w:t>
            </w:r>
          </w:p>
        </w:tc>
        <w:tc>
          <w:tcPr>
            <w:tcW w:w="4536" w:type="dxa"/>
            <w:vAlign w:val="center"/>
          </w:tcPr>
          <w:p w:rsidR="004A3E72" w:rsidRPr="008F671D" w:rsidRDefault="004A3E72" w:rsidP="004A3E72">
            <w:pPr>
              <w:rPr>
                <w:rFonts w:asciiTheme="minorHAnsi" w:hAnsiTheme="minorHAnsi"/>
                <w:sz w:val="20"/>
              </w:rPr>
            </w:pPr>
          </w:p>
        </w:tc>
      </w:tr>
      <w:tr w:rsidR="004A3E72" w:rsidRPr="008F671D" w:rsidTr="00823C0A">
        <w:trPr>
          <w:trHeight w:val="454"/>
        </w:trPr>
        <w:tc>
          <w:tcPr>
            <w:tcW w:w="4219" w:type="dxa"/>
            <w:shd w:val="clear" w:color="auto" w:fill="D9D9D9" w:themeFill="background1" w:themeFillShade="D9"/>
            <w:vAlign w:val="center"/>
          </w:tcPr>
          <w:p w:rsidR="004A3E72" w:rsidRPr="00345E2E" w:rsidRDefault="004A3E72" w:rsidP="004A3E72">
            <w:pPr>
              <w:rPr>
                <w:rFonts w:asciiTheme="minorHAnsi" w:hAnsiTheme="minorHAnsi"/>
                <w:b/>
                <w:sz w:val="20"/>
                <w:szCs w:val="20"/>
              </w:rPr>
            </w:pPr>
            <w:r w:rsidRPr="00345E2E">
              <w:rPr>
                <w:rFonts w:asciiTheme="minorHAnsi" w:hAnsiTheme="minorHAnsi"/>
                <w:b/>
                <w:sz w:val="20"/>
                <w:szCs w:val="20"/>
              </w:rPr>
              <w:t>Parliamentary Constituency level</w:t>
            </w:r>
          </w:p>
        </w:tc>
        <w:tc>
          <w:tcPr>
            <w:tcW w:w="903" w:type="dxa"/>
            <w:vAlign w:val="center"/>
          </w:tcPr>
          <w:p w:rsidR="004A3E72" w:rsidRDefault="004A3E72" w:rsidP="004A3E72">
            <w:pPr>
              <w:rPr>
                <w:rFonts w:asciiTheme="minorHAnsi" w:hAnsiTheme="minorHAnsi"/>
                <w:sz w:val="20"/>
                <w:szCs w:val="20"/>
              </w:rPr>
            </w:pPr>
            <w:r>
              <w:rPr>
                <w:rFonts w:asciiTheme="minorHAnsi" w:hAnsiTheme="minorHAnsi"/>
                <w:sz w:val="20"/>
                <w:szCs w:val="20"/>
              </w:rPr>
              <w:t>Yes</w:t>
            </w:r>
          </w:p>
        </w:tc>
        <w:tc>
          <w:tcPr>
            <w:tcW w:w="4536" w:type="dxa"/>
            <w:vAlign w:val="center"/>
          </w:tcPr>
          <w:p w:rsidR="004A3E72" w:rsidRPr="008F671D" w:rsidRDefault="004A3E72" w:rsidP="004A3E72">
            <w:pPr>
              <w:rPr>
                <w:rFonts w:asciiTheme="minorHAnsi" w:hAnsiTheme="minorHAnsi"/>
                <w:sz w:val="20"/>
              </w:rPr>
            </w:pPr>
          </w:p>
        </w:tc>
      </w:tr>
      <w:tr w:rsidR="004A3E72" w:rsidRPr="008F671D" w:rsidTr="00823C0A">
        <w:trPr>
          <w:trHeight w:val="454"/>
        </w:trPr>
        <w:tc>
          <w:tcPr>
            <w:tcW w:w="4219" w:type="dxa"/>
            <w:shd w:val="clear" w:color="auto" w:fill="D9D9D9" w:themeFill="background1" w:themeFillShade="D9"/>
            <w:vAlign w:val="center"/>
          </w:tcPr>
          <w:p w:rsidR="004A3E72" w:rsidRPr="00345E2E" w:rsidRDefault="004A3E72" w:rsidP="004A3E72">
            <w:pPr>
              <w:rPr>
                <w:rFonts w:asciiTheme="minorHAnsi" w:hAnsiTheme="minorHAnsi"/>
                <w:b/>
                <w:sz w:val="20"/>
                <w:szCs w:val="20"/>
              </w:rPr>
            </w:pPr>
            <w:r>
              <w:rPr>
                <w:rFonts w:asciiTheme="minorHAnsi" w:hAnsiTheme="minorHAnsi"/>
                <w:b/>
                <w:sz w:val="20"/>
                <w:szCs w:val="20"/>
              </w:rPr>
              <w:lastRenderedPageBreak/>
              <w:t>Local Government District (2014) level</w:t>
            </w:r>
          </w:p>
        </w:tc>
        <w:tc>
          <w:tcPr>
            <w:tcW w:w="903" w:type="dxa"/>
            <w:vAlign w:val="center"/>
          </w:tcPr>
          <w:p w:rsidR="004A3E72" w:rsidRDefault="004A3E72" w:rsidP="004A3E72">
            <w:pPr>
              <w:rPr>
                <w:rFonts w:asciiTheme="minorHAnsi" w:hAnsiTheme="minorHAnsi"/>
                <w:sz w:val="20"/>
                <w:szCs w:val="20"/>
              </w:rPr>
            </w:pPr>
            <w:r>
              <w:rPr>
                <w:rFonts w:asciiTheme="minorHAnsi" w:hAnsiTheme="minorHAnsi"/>
                <w:sz w:val="20"/>
                <w:szCs w:val="20"/>
              </w:rPr>
              <w:t>Yes</w:t>
            </w:r>
          </w:p>
        </w:tc>
        <w:tc>
          <w:tcPr>
            <w:tcW w:w="4536" w:type="dxa"/>
            <w:vAlign w:val="center"/>
          </w:tcPr>
          <w:p w:rsidR="004A3E72" w:rsidRPr="008F671D" w:rsidRDefault="004A3E72" w:rsidP="004A3E72">
            <w:pPr>
              <w:rPr>
                <w:rFonts w:asciiTheme="minorHAnsi" w:hAnsiTheme="minorHAnsi"/>
                <w:sz w:val="20"/>
              </w:rPr>
            </w:pPr>
          </w:p>
        </w:tc>
      </w:tr>
      <w:tr w:rsidR="004A3E72" w:rsidRPr="008F671D" w:rsidTr="00823C0A">
        <w:trPr>
          <w:trHeight w:val="454"/>
        </w:trPr>
        <w:tc>
          <w:tcPr>
            <w:tcW w:w="4219" w:type="dxa"/>
            <w:shd w:val="clear" w:color="auto" w:fill="D9D9D9" w:themeFill="background1" w:themeFillShade="D9"/>
            <w:vAlign w:val="center"/>
          </w:tcPr>
          <w:p w:rsidR="004A3E72" w:rsidRPr="00345E2E" w:rsidRDefault="004A3E72" w:rsidP="004A3E72">
            <w:pPr>
              <w:rPr>
                <w:rFonts w:asciiTheme="minorHAnsi" w:hAnsiTheme="minorHAnsi"/>
                <w:b/>
                <w:sz w:val="20"/>
                <w:szCs w:val="20"/>
              </w:rPr>
            </w:pPr>
            <w:r w:rsidRPr="00345E2E">
              <w:rPr>
                <w:rFonts w:asciiTheme="minorHAnsi" w:hAnsiTheme="minorHAnsi"/>
                <w:b/>
                <w:sz w:val="20"/>
                <w:szCs w:val="20"/>
              </w:rPr>
              <w:t>Deprivation Quintile</w:t>
            </w:r>
          </w:p>
        </w:tc>
        <w:tc>
          <w:tcPr>
            <w:tcW w:w="903" w:type="dxa"/>
            <w:vAlign w:val="center"/>
          </w:tcPr>
          <w:p w:rsidR="004A3E72" w:rsidRDefault="004A3E72" w:rsidP="004A3E72">
            <w:pPr>
              <w:rPr>
                <w:rFonts w:asciiTheme="minorHAnsi" w:hAnsiTheme="minorHAnsi"/>
                <w:sz w:val="20"/>
                <w:szCs w:val="20"/>
              </w:rPr>
            </w:pPr>
            <w:r>
              <w:rPr>
                <w:rFonts w:asciiTheme="minorHAnsi" w:hAnsiTheme="minorHAnsi"/>
                <w:sz w:val="20"/>
                <w:szCs w:val="20"/>
              </w:rPr>
              <w:t>No</w:t>
            </w:r>
          </w:p>
        </w:tc>
        <w:tc>
          <w:tcPr>
            <w:tcW w:w="4536" w:type="dxa"/>
            <w:vAlign w:val="center"/>
          </w:tcPr>
          <w:p w:rsidR="004A3E72" w:rsidRPr="008F671D" w:rsidRDefault="004A3E72" w:rsidP="004A3E72">
            <w:pPr>
              <w:rPr>
                <w:rFonts w:asciiTheme="minorHAnsi" w:hAnsiTheme="minorHAnsi"/>
                <w:sz w:val="20"/>
              </w:rPr>
            </w:pPr>
          </w:p>
        </w:tc>
      </w:tr>
      <w:tr w:rsidR="004A3E72" w:rsidRPr="008F671D" w:rsidTr="00823C0A">
        <w:trPr>
          <w:trHeight w:val="454"/>
        </w:trPr>
        <w:tc>
          <w:tcPr>
            <w:tcW w:w="4219" w:type="dxa"/>
            <w:shd w:val="clear" w:color="auto" w:fill="D9D9D9" w:themeFill="background1" w:themeFillShade="D9"/>
            <w:vAlign w:val="center"/>
          </w:tcPr>
          <w:p w:rsidR="004A3E72" w:rsidRPr="00345E2E" w:rsidRDefault="004A3E72" w:rsidP="004A3E72">
            <w:pPr>
              <w:rPr>
                <w:rFonts w:asciiTheme="minorHAnsi" w:hAnsiTheme="minorHAnsi"/>
                <w:b/>
                <w:sz w:val="20"/>
                <w:szCs w:val="20"/>
              </w:rPr>
            </w:pPr>
            <w:r w:rsidRPr="00345E2E">
              <w:rPr>
                <w:rFonts w:asciiTheme="minorHAnsi" w:hAnsiTheme="minorHAnsi"/>
                <w:b/>
                <w:sz w:val="20"/>
                <w:szCs w:val="20"/>
              </w:rPr>
              <w:t xml:space="preserve">NISRA Geography Urban/Rural Measure </w:t>
            </w:r>
          </w:p>
        </w:tc>
        <w:tc>
          <w:tcPr>
            <w:tcW w:w="903" w:type="dxa"/>
            <w:vAlign w:val="center"/>
          </w:tcPr>
          <w:p w:rsidR="004A3E72" w:rsidRDefault="004A3E72" w:rsidP="004A3E72">
            <w:pPr>
              <w:rPr>
                <w:rFonts w:asciiTheme="minorHAnsi" w:hAnsiTheme="minorHAnsi"/>
                <w:sz w:val="20"/>
                <w:szCs w:val="20"/>
              </w:rPr>
            </w:pPr>
            <w:r>
              <w:rPr>
                <w:rFonts w:asciiTheme="minorHAnsi" w:hAnsiTheme="minorHAnsi"/>
                <w:sz w:val="20"/>
                <w:szCs w:val="20"/>
              </w:rPr>
              <w:t>Yes</w:t>
            </w:r>
          </w:p>
        </w:tc>
        <w:tc>
          <w:tcPr>
            <w:tcW w:w="4536" w:type="dxa"/>
            <w:vAlign w:val="center"/>
          </w:tcPr>
          <w:p w:rsidR="004A3E72" w:rsidRPr="008F671D" w:rsidRDefault="004A3E72" w:rsidP="004A3E72">
            <w:pPr>
              <w:rPr>
                <w:rFonts w:asciiTheme="minorHAnsi" w:hAnsiTheme="minorHAnsi"/>
                <w:sz w:val="20"/>
              </w:rPr>
            </w:pPr>
          </w:p>
        </w:tc>
      </w:tr>
      <w:tr w:rsidR="004A3E72" w:rsidRPr="008F671D" w:rsidTr="00823C0A">
        <w:trPr>
          <w:trHeight w:val="454"/>
        </w:trPr>
        <w:tc>
          <w:tcPr>
            <w:tcW w:w="4219" w:type="dxa"/>
            <w:shd w:val="clear" w:color="auto" w:fill="D9D9D9" w:themeFill="background1" w:themeFillShade="D9"/>
            <w:vAlign w:val="center"/>
          </w:tcPr>
          <w:p w:rsidR="004A3E72" w:rsidRPr="00345E2E" w:rsidRDefault="004A3E72" w:rsidP="004A3E72">
            <w:pPr>
              <w:rPr>
                <w:rFonts w:asciiTheme="minorHAnsi" w:hAnsiTheme="minorHAnsi"/>
                <w:b/>
                <w:sz w:val="20"/>
                <w:szCs w:val="20"/>
              </w:rPr>
            </w:pPr>
            <w:r w:rsidRPr="00345E2E">
              <w:rPr>
                <w:rFonts w:asciiTheme="minorHAnsi" w:hAnsiTheme="minorHAnsi"/>
                <w:b/>
                <w:sz w:val="20"/>
                <w:szCs w:val="20"/>
              </w:rPr>
              <w:t>Gender</w:t>
            </w:r>
          </w:p>
        </w:tc>
        <w:tc>
          <w:tcPr>
            <w:tcW w:w="903" w:type="dxa"/>
            <w:vAlign w:val="center"/>
          </w:tcPr>
          <w:p w:rsidR="004A3E72" w:rsidRDefault="004A3E72" w:rsidP="004A3E72">
            <w:pPr>
              <w:rPr>
                <w:rFonts w:asciiTheme="minorHAnsi" w:hAnsiTheme="minorHAnsi"/>
                <w:sz w:val="20"/>
                <w:szCs w:val="20"/>
              </w:rPr>
            </w:pPr>
            <w:r>
              <w:rPr>
                <w:rFonts w:asciiTheme="minorHAnsi" w:hAnsiTheme="minorHAnsi"/>
                <w:sz w:val="20"/>
                <w:szCs w:val="20"/>
              </w:rPr>
              <w:t>Yes</w:t>
            </w:r>
          </w:p>
        </w:tc>
        <w:tc>
          <w:tcPr>
            <w:tcW w:w="4536" w:type="dxa"/>
            <w:vAlign w:val="center"/>
          </w:tcPr>
          <w:p w:rsidR="004A3E72" w:rsidRPr="008F671D" w:rsidRDefault="004A3E72" w:rsidP="004A3E72">
            <w:pPr>
              <w:rPr>
                <w:rFonts w:asciiTheme="minorHAnsi" w:hAnsiTheme="minorHAnsi"/>
                <w:sz w:val="20"/>
              </w:rPr>
            </w:pPr>
          </w:p>
        </w:tc>
      </w:tr>
      <w:tr w:rsidR="004A3E72" w:rsidRPr="008F671D" w:rsidTr="00823C0A">
        <w:trPr>
          <w:trHeight w:val="454"/>
        </w:trPr>
        <w:tc>
          <w:tcPr>
            <w:tcW w:w="4219" w:type="dxa"/>
            <w:shd w:val="clear" w:color="auto" w:fill="D9D9D9" w:themeFill="background1" w:themeFillShade="D9"/>
            <w:vAlign w:val="center"/>
          </w:tcPr>
          <w:p w:rsidR="004A3E72" w:rsidRPr="00345E2E" w:rsidRDefault="004A3E72" w:rsidP="004A3E72">
            <w:pPr>
              <w:rPr>
                <w:rFonts w:asciiTheme="minorHAnsi" w:hAnsiTheme="minorHAnsi"/>
                <w:sz w:val="20"/>
                <w:szCs w:val="20"/>
              </w:rPr>
            </w:pPr>
            <w:r w:rsidRPr="00345E2E">
              <w:rPr>
                <w:rFonts w:asciiTheme="minorHAnsi" w:hAnsiTheme="minorHAnsi"/>
                <w:b/>
                <w:sz w:val="20"/>
                <w:szCs w:val="20"/>
              </w:rPr>
              <w:t>Age</w:t>
            </w:r>
          </w:p>
        </w:tc>
        <w:tc>
          <w:tcPr>
            <w:tcW w:w="903" w:type="dxa"/>
            <w:vAlign w:val="center"/>
          </w:tcPr>
          <w:p w:rsidR="004A3E72" w:rsidRDefault="004A3E72" w:rsidP="004A3E72">
            <w:pPr>
              <w:rPr>
                <w:rFonts w:asciiTheme="minorHAnsi" w:hAnsiTheme="minorHAnsi"/>
                <w:sz w:val="20"/>
                <w:szCs w:val="20"/>
              </w:rPr>
            </w:pPr>
            <w:r>
              <w:rPr>
                <w:rFonts w:asciiTheme="minorHAnsi" w:hAnsiTheme="minorHAnsi"/>
                <w:sz w:val="20"/>
                <w:szCs w:val="20"/>
              </w:rPr>
              <w:t>Yes</w:t>
            </w:r>
          </w:p>
        </w:tc>
        <w:tc>
          <w:tcPr>
            <w:tcW w:w="4536" w:type="dxa"/>
            <w:vAlign w:val="center"/>
          </w:tcPr>
          <w:p w:rsidR="004A3E72" w:rsidRPr="008F671D" w:rsidRDefault="004A3E72" w:rsidP="004A3E72">
            <w:pPr>
              <w:rPr>
                <w:rFonts w:asciiTheme="minorHAnsi" w:hAnsiTheme="minorHAnsi"/>
                <w:sz w:val="20"/>
              </w:rPr>
            </w:pPr>
          </w:p>
        </w:tc>
      </w:tr>
      <w:tr w:rsidR="004A3E72" w:rsidRPr="008F671D" w:rsidTr="00823C0A">
        <w:trPr>
          <w:trHeight w:val="454"/>
        </w:trPr>
        <w:tc>
          <w:tcPr>
            <w:tcW w:w="4219" w:type="dxa"/>
            <w:shd w:val="clear" w:color="auto" w:fill="D9D9D9" w:themeFill="background1" w:themeFillShade="D9"/>
            <w:vAlign w:val="center"/>
          </w:tcPr>
          <w:p w:rsidR="004A3E72" w:rsidRPr="00345E2E" w:rsidRDefault="004A3E72" w:rsidP="004A3E72">
            <w:pPr>
              <w:rPr>
                <w:rFonts w:asciiTheme="minorHAnsi" w:hAnsiTheme="minorHAnsi"/>
                <w:sz w:val="20"/>
                <w:szCs w:val="20"/>
              </w:rPr>
            </w:pPr>
            <w:r w:rsidRPr="00345E2E">
              <w:rPr>
                <w:rFonts w:asciiTheme="minorHAnsi" w:hAnsiTheme="minorHAnsi"/>
                <w:b/>
                <w:sz w:val="20"/>
                <w:szCs w:val="20"/>
              </w:rPr>
              <w:t>Marital Status</w:t>
            </w:r>
          </w:p>
        </w:tc>
        <w:tc>
          <w:tcPr>
            <w:tcW w:w="903" w:type="dxa"/>
            <w:vAlign w:val="center"/>
          </w:tcPr>
          <w:p w:rsidR="004A3E72" w:rsidRDefault="004A3E72" w:rsidP="004A3E72">
            <w:pPr>
              <w:rPr>
                <w:rFonts w:asciiTheme="minorHAnsi" w:hAnsiTheme="minorHAnsi"/>
                <w:sz w:val="20"/>
                <w:szCs w:val="20"/>
              </w:rPr>
            </w:pPr>
            <w:r>
              <w:rPr>
                <w:rFonts w:asciiTheme="minorHAnsi" w:hAnsiTheme="minorHAnsi"/>
                <w:sz w:val="20"/>
                <w:szCs w:val="20"/>
              </w:rPr>
              <w:t>Yes</w:t>
            </w:r>
          </w:p>
        </w:tc>
        <w:tc>
          <w:tcPr>
            <w:tcW w:w="4536" w:type="dxa"/>
            <w:vAlign w:val="center"/>
          </w:tcPr>
          <w:p w:rsidR="004A3E72" w:rsidRPr="008F671D" w:rsidRDefault="004A3E72" w:rsidP="004A3E72">
            <w:pPr>
              <w:rPr>
                <w:rFonts w:asciiTheme="minorHAnsi" w:hAnsiTheme="minorHAnsi"/>
                <w:sz w:val="20"/>
              </w:rPr>
            </w:pPr>
          </w:p>
        </w:tc>
      </w:tr>
      <w:tr w:rsidR="004A3E72" w:rsidRPr="008F671D" w:rsidTr="00823C0A">
        <w:trPr>
          <w:trHeight w:val="454"/>
        </w:trPr>
        <w:tc>
          <w:tcPr>
            <w:tcW w:w="4219" w:type="dxa"/>
            <w:shd w:val="clear" w:color="auto" w:fill="D9D9D9" w:themeFill="background1" w:themeFillShade="D9"/>
            <w:vAlign w:val="center"/>
          </w:tcPr>
          <w:p w:rsidR="004A3E72" w:rsidRPr="00345E2E" w:rsidRDefault="004A3E72" w:rsidP="004A3E72">
            <w:pPr>
              <w:rPr>
                <w:rFonts w:asciiTheme="minorHAnsi" w:hAnsiTheme="minorHAnsi"/>
                <w:sz w:val="20"/>
                <w:szCs w:val="20"/>
              </w:rPr>
            </w:pPr>
            <w:r w:rsidRPr="00345E2E">
              <w:rPr>
                <w:rFonts w:asciiTheme="minorHAnsi" w:hAnsiTheme="minorHAnsi"/>
                <w:b/>
                <w:sz w:val="20"/>
                <w:szCs w:val="20"/>
              </w:rPr>
              <w:t>Religion</w:t>
            </w:r>
          </w:p>
        </w:tc>
        <w:tc>
          <w:tcPr>
            <w:tcW w:w="903" w:type="dxa"/>
            <w:vAlign w:val="center"/>
          </w:tcPr>
          <w:p w:rsidR="004A3E72" w:rsidRDefault="004A3E72" w:rsidP="004A3E72">
            <w:pPr>
              <w:rPr>
                <w:rFonts w:asciiTheme="minorHAnsi" w:hAnsiTheme="minorHAnsi"/>
                <w:sz w:val="20"/>
                <w:szCs w:val="20"/>
              </w:rPr>
            </w:pPr>
            <w:r>
              <w:rPr>
                <w:rFonts w:asciiTheme="minorHAnsi" w:hAnsiTheme="minorHAnsi"/>
                <w:sz w:val="20"/>
                <w:szCs w:val="20"/>
              </w:rPr>
              <w:t>Yes</w:t>
            </w:r>
          </w:p>
        </w:tc>
        <w:tc>
          <w:tcPr>
            <w:tcW w:w="4536" w:type="dxa"/>
            <w:vAlign w:val="center"/>
          </w:tcPr>
          <w:p w:rsidR="004A3E72" w:rsidRPr="008F671D" w:rsidRDefault="004A3E72" w:rsidP="004A3E72">
            <w:pPr>
              <w:rPr>
                <w:rFonts w:asciiTheme="minorHAnsi" w:hAnsiTheme="minorHAnsi"/>
                <w:sz w:val="20"/>
              </w:rPr>
            </w:pPr>
          </w:p>
        </w:tc>
      </w:tr>
      <w:tr w:rsidR="004A3E72" w:rsidRPr="008F671D" w:rsidTr="00823C0A">
        <w:trPr>
          <w:trHeight w:val="454"/>
        </w:trPr>
        <w:tc>
          <w:tcPr>
            <w:tcW w:w="4219" w:type="dxa"/>
            <w:shd w:val="clear" w:color="auto" w:fill="D9D9D9" w:themeFill="background1" w:themeFillShade="D9"/>
            <w:vAlign w:val="center"/>
          </w:tcPr>
          <w:p w:rsidR="004A3E72" w:rsidRPr="00345E2E" w:rsidRDefault="004A3E72" w:rsidP="004A3E72">
            <w:pPr>
              <w:rPr>
                <w:rFonts w:asciiTheme="minorHAnsi" w:hAnsiTheme="minorHAnsi"/>
                <w:sz w:val="20"/>
                <w:szCs w:val="20"/>
              </w:rPr>
            </w:pPr>
            <w:r w:rsidRPr="00345E2E">
              <w:rPr>
                <w:rFonts w:asciiTheme="minorHAnsi" w:hAnsiTheme="minorHAnsi"/>
                <w:b/>
                <w:sz w:val="20"/>
                <w:szCs w:val="20"/>
              </w:rPr>
              <w:t>Political Opinion</w:t>
            </w:r>
          </w:p>
        </w:tc>
        <w:tc>
          <w:tcPr>
            <w:tcW w:w="903" w:type="dxa"/>
            <w:vAlign w:val="center"/>
          </w:tcPr>
          <w:p w:rsidR="004A3E72" w:rsidRDefault="004A3E72" w:rsidP="004A3E72">
            <w:pPr>
              <w:rPr>
                <w:rFonts w:asciiTheme="minorHAnsi" w:hAnsiTheme="minorHAnsi"/>
                <w:sz w:val="20"/>
                <w:szCs w:val="20"/>
              </w:rPr>
            </w:pPr>
            <w:r>
              <w:rPr>
                <w:rFonts w:asciiTheme="minorHAnsi" w:hAnsiTheme="minorHAnsi"/>
                <w:sz w:val="20"/>
                <w:szCs w:val="20"/>
              </w:rPr>
              <w:t>No</w:t>
            </w:r>
          </w:p>
        </w:tc>
        <w:tc>
          <w:tcPr>
            <w:tcW w:w="4536" w:type="dxa"/>
            <w:vAlign w:val="center"/>
          </w:tcPr>
          <w:p w:rsidR="004A3E72" w:rsidRPr="008F671D" w:rsidRDefault="004A3E72" w:rsidP="004A3E72">
            <w:pPr>
              <w:rPr>
                <w:rFonts w:asciiTheme="minorHAnsi" w:hAnsiTheme="minorHAnsi"/>
                <w:sz w:val="20"/>
              </w:rPr>
            </w:pPr>
          </w:p>
        </w:tc>
      </w:tr>
      <w:tr w:rsidR="004A3E72" w:rsidRPr="008F671D" w:rsidTr="00823C0A">
        <w:trPr>
          <w:trHeight w:val="454"/>
        </w:trPr>
        <w:tc>
          <w:tcPr>
            <w:tcW w:w="4219" w:type="dxa"/>
            <w:shd w:val="clear" w:color="auto" w:fill="D9D9D9" w:themeFill="background1" w:themeFillShade="D9"/>
            <w:vAlign w:val="center"/>
          </w:tcPr>
          <w:p w:rsidR="004A3E72" w:rsidRPr="00345E2E" w:rsidRDefault="004A3E72" w:rsidP="004A3E72">
            <w:pPr>
              <w:rPr>
                <w:rFonts w:asciiTheme="minorHAnsi" w:hAnsiTheme="minorHAnsi"/>
                <w:sz w:val="20"/>
                <w:szCs w:val="20"/>
              </w:rPr>
            </w:pPr>
            <w:r w:rsidRPr="00345E2E">
              <w:rPr>
                <w:rFonts w:asciiTheme="minorHAnsi" w:hAnsiTheme="minorHAnsi"/>
                <w:b/>
                <w:sz w:val="20"/>
                <w:szCs w:val="20"/>
              </w:rPr>
              <w:t>Disability</w:t>
            </w:r>
          </w:p>
        </w:tc>
        <w:tc>
          <w:tcPr>
            <w:tcW w:w="903" w:type="dxa"/>
            <w:vAlign w:val="center"/>
          </w:tcPr>
          <w:p w:rsidR="004A3E72" w:rsidRDefault="004A3E72" w:rsidP="004A3E72">
            <w:pPr>
              <w:rPr>
                <w:rFonts w:asciiTheme="minorHAnsi" w:hAnsiTheme="minorHAnsi"/>
                <w:sz w:val="20"/>
                <w:szCs w:val="20"/>
              </w:rPr>
            </w:pPr>
            <w:r>
              <w:rPr>
                <w:rFonts w:asciiTheme="minorHAnsi" w:hAnsiTheme="minorHAnsi"/>
                <w:sz w:val="20"/>
                <w:szCs w:val="20"/>
              </w:rPr>
              <w:t>No</w:t>
            </w:r>
          </w:p>
        </w:tc>
        <w:tc>
          <w:tcPr>
            <w:tcW w:w="4536" w:type="dxa"/>
            <w:vAlign w:val="center"/>
          </w:tcPr>
          <w:p w:rsidR="004A3E72" w:rsidRPr="008F671D" w:rsidRDefault="004A3E72" w:rsidP="004A3E72">
            <w:pPr>
              <w:rPr>
                <w:rFonts w:asciiTheme="minorHAnsi" w:hAnsiTheme="minorHAnsi"/>
                <w:sz w:val="20"/>
              </w:rPr>
            </w:pPr>
          </w:p>
        </w:tc>
      </w:tr>
      <w:tr w:rsidR="004A3E72" w:rsidRPr="008F671D" w:rsidTr="00823C0A">
        <w:trPr>
          <w:trHeight w:val="454"/>
        </w:trPr>
        <w:tc>
          <w:tcPr>
            <w:tcW w:w="4219" w:type="dxa"/>
            <w:shd w:val="clear" w:color="auto" w:fill="D9D9D9" w:themeFill="background1" w:themeFillShade="D9"/>
            <w:vAlign w:val="center"/>
          </w:tcPr>
          <w:p w:rsidR="004A3E72" w:rsidRPr="00345E2E" w:rsidRDefault="004A3E72" w:rsidP="004A3E72">
            <w:pPr>
              <w:rPr>
                <w:rFonts w:asciiTheme="minorHAnsi" w:hAnsiTheme="minorHAnsi"/>
                <w:sz w:val="20"/>
                <w:szCs w:val="20"/>
              </w:rPr>
            </w:pPr>
            <w:r w:rsidRPr="00345E2E">
              <w:rPr>
                <w:rFonts w:asciiTheme="minorHAnsi" w:hAnsiTheme="minorHAnsi"/>
                <w:b/>
                <w:sz w:val="20"/>
                <w:szCs w:val="20"/>
              </w:rPr>
              <w:t>Dependants</w:t>
            </w:r>
          </w:p>
        </w:tc>
        <w:tc>
          <w:tcPr>
            <w:tcW w:w="903" w:type="dxa"/>
            <w:vAlign w:val="center"/>
          </w:tcPr>
          <w:p w:rsidR="004A3E72" w:rsidRDefault="004A3E72" w:rsidP="004A3E72">
            <w:pPr>
              <w:rPr>
                <w:rFonts w:asciiTheme="minorHAnsi" w:hAnsiTheme="minorHAnsi"/>
                <w:sz w:val="20"/>
                <w:szCs w:val="20"/>
              </w:rPr>
            </w:pPr>
            <w:r>
              <w:rPr>
                <w:rFonts w:asciiTheme="minorHAnsi" w:hAnsiTheme="minorHAnsi"/>
                <w:sz w:val="20"/>
                <w:szCs w:val="20"/>
              </w:rPr>
              <w:t>Yes</w:t>
            </w:r>
          </w:p>
        </w:tc>
        <w:tc>
          <w:tcPr>
            <w:tcW w:w="4536" w:type="dxa"/>
            <w:vAlign w:val="center"/>
          </w:tcPr>
          <w:p w:rsidR="004A3E72" w:rsidRPr="008F671D" w:rsidRDefault="004A3E72" w:rsidP="004A3E72">
            <w:pPr>
              <w:rPr>
                <w:rFonts w:asciiTheme="minorHAnsi" w:hAnsiTheme="minorHAnsi"/>
                <w:sz w:val="20"/>
              </w:rPr>
            </w:pPr>
          </w:p>
        </w:tc>
      </w:tr>
      <w:tr w:rsidR="004A3E72" w:rsidRPr="008F671D" w:rsidTr="00823C0A">
        <w:trPr>
          <w:trHeight w:val="454"/>
        </w:trPr>
        <w:tc>
          <w:tcPr>
            <w:tcW w:w="4219" w:type="dxa"/>
            <w:shd w:val="clear" w:color="auto" w:fill="D9D9D9" w:themeFill="background1" w:themeFillShade="D9"/>
            <w:vAlign w:val="center"/>
          </w:tcPr>
          <w:p w:rsidR="004A3E72" w:rsidRPr="00345E2E" w:rsidRDefault="004A3E72" w:rsidP="004A3E72">
            <w:pPr>
              <w:rPr>
                <w:rFonts w:asciiTheme="minorHAnsi" w:hAnsiTheme="minorHAnsi"/>
                <w:sz w:val="20"/>
                <w:szCs w:val="20"/>
              </w:rPr>
            </w:pPr>
            <w:r w:rsidRPr="00345E2E">
              <w:rPr>
                <w:rFonts w:asciiTheme="minorHAnsi" w:hAnsiTheme="minorHAnsi"/>
                <w:b/>
                <w:sz w:val="20"/>
                <w:szCs w:val="20"/>
              </w:rPr>
              <w:t>Sexual Orientation</w:t>
            </w:r>
          </w:p>
        </w:tc>
        <w:tc>
          <w:tcPr>
            <w:tcW w:w="903" w:type="dxa"/>
            <w:vAlign w:val="center"/>
          </w:tcPr>
          <w:p w:rsidR="004A3E72" w:rsidRDefault="004A3E72" w:rsidP="004A3E72">
            <w:pPr>
              <w:rPr>
                <w:rFonts w:asciiTheme="minorHAnsi" w:hAnsiTheme="minorHAnsi"/>
                <w:sz w:val="20"/>
                <w:szCs w:val="20"/>
              </w:rPr>
            </w:pPr>
            <w:r>
              <w:rPr>
                <w:rFonts w:asciiTheme="minorHAnsi" w:hAnsiTheme="minorHAnsi"/>
                <w:sz w:val="20"/>
                <w:szCs w:val="20"/>
              </w:rPr>
              <w:t>No</w:t>
            </w:r>
          </w:p>
        </w:tc>
        <w:tc>
          <w:tcPr>
            <w:tcW w:w="4536" w:type="dxa"/>
            <w:vAlign w:val="center"/>
          </w:tcPr>
          <w:p w:rsidR="004A3E72" w:rsidRPr="008F671D" w:rsidRDefault="004A3E72" w:rsidP="004A3E72">
            <w:pPr>
              <w:rPr>
                <w:rFonts w:asciiTheme="minorHAnsi" w:hAnsiTheme="minorHAnsi"/>
                <w:sz w:val="20"/>
              </w:rPr>
            </w:pPr>
          </w:p>
        </w:tc>
      </w:tr>
      <w:tr w:rsidR="004A3E72" w:rsidRPr="008F671D" w:rsidTr="00823C0A">
        <w:trPr>
          <w:trHeight w:val="454"/>
        </w:trPr>
        <w:tc>
          <w:tcPr>
            <w:tcW w:w="4219" w:type="dxa"/>
            <w:shd w:val="clear" w:color="auto" w:fill="D9D9D9" w:themeFill="background1" w:themeFillShade="D9"/>
            <w:vAlign w:val="center"/>
          </w:tcPr>
          <w:p w:rsidR="004A3E72" w:rsidRPr="00345E2E" w:rsidRDefault="004A3E72" w:rsidP="004A3E72">
            <w:pPr>
              <w:rPr>
                <w:rFonts w:asciiTheme="minorHAnsi" w:hAnsiTheme="minorHAnsi"/>
                <w:sz w:val="20"/>
                <w:szCs w:val="20"/>
              </w:rPr>
            </w:pPr>
            <w:r w:rsidRPr="00345E2E">
              <w:rPr>
                <w:rFonts w:asciiTheme="minorHAnsi" w:hAnsiTheme="minorHAnsi"/>
                <w:b/>
                <w:sz w:val="20"/>
                <w:szCs w:val="20"/>
              </w:rPr>
              <w:t>Racial Group</w:t>
            </w:r>
          </w:p>
        </w:tc>
        <w:tc>
          <w:tcPr>
            <w:tcW w:w="903" w:type="dxa"/>
            <w:vAlign w:val="center"/>
          </w:tcPr>
          <w:p w:rsidR="004A3E72" w:rsidRDefault="004A3E72" w:rsidP="004A3E72">
            <w:pPr>
              <w:rPr>
                <w:rFonts w:asciiTheme="minorHAnsi" w:hAnsiTheme="minorHAnsi"/>
                <w:sz w:val="20"/>
                <w:szCs w:val="20"/>
              </w:rPr>
            </w:pPr>
            <w:r>
              <w:rPr>
                <w:rFonts w:asciiTheme="minorHAnsi" w:hAnsiTheme="minorHAnsi"/>
                <w:sz w:val="20"/>
                <w:szCs w:val="20"/>
              </w:rPr>
              <w:t>Yes</w:t>
            </w:r>
          </w:p>
        </w:tc>
        <w:tc>
          <w:tcPr>
            <w:tcW w:w="4536" w:type="dxa"/>
            <w:vAlign w:val="center"/>
          </w:tcPr>
          <w:p w:rsidR="004A3E72" w:rsidRPr="008F671D" w:rsidRDefault="004A3E72" w:rsidP="004A3E72">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4C2627" w:rsidRDefault="00A85CFB" w:rsidP="00C06DF4">
            <w:pPr>
              <w:rPr>
                <w:rFonts w:asciiTheme="minorHAnsi" w:hAnsiTheme="minorHAnsi"/>
                <w:b/>
                <w:sz w:val="20"/>
                <w:szCs w:val="20"/>
              </w:rPr>
            </w:pPr>
            <w:r>
              <w:rPr>
                <w:rFonts w:asciiTheme="minorHAnsi" w:hAnsiTheme="minorHAnsi"/>
                <w:b/>
                <w:sz w:val="20"/>
                <w:szCs w:val="20"/>
              </w:rPr>
              <w:t>L</w:t>
            </w:r>
            <w:r w:rsidRPr="00345E2E">
              <w:rPr>
                <w:rFonts w:asciiTheme="minorHAnsi" w:hAnsiTheme="minorHAnsi"/>
                <w:b/>
                <w:sz w:val="20"/>
                <w:szCs w:val="20"/>
              </w:rPr>
              <w:t>owest level geography at which the measure is available:</w:t>
            </w:r>
          </w:p>
        </w:tc>
        <w:tc>
          <w:tcPr>
            <w:tcW w:w="5439" w:type="dxa"/>
            <w:gridSpan w:val="2"/>
            <w:vAlign w:val="center"/>
          </w:tcPr>
          <w:p w:rsidR="00A85CFB" w:rsidRPr="0006771F" w:rsidRDefault="004A3E72" w:rsidP="00823C0A">
            <w:pPr>
              <w:rPr>
                <w:rFonts w:asciiTheme="minorHAnsi" w:hAnsiTheme="minorHAnsi"/>
                <w:sz w:val="20"/>
              </w:rPr>
            </w:pPr>
            <w:r>
              <w:rPr>
                <w:rFonts w:asciiTheme="minorHAnsi" w:hAnsiTheme="minorHAnsi"/>
                <w:sz w:val="20"/>
                <w:szCs w:val="20"/>
              </w:rPr>
              <w:t>Currently Parliamentary Constituency level</w:t>
            </w:r>
          </w:p>
        </w:tc>
      </w:tr>
    </w:tbl>
    <w:bookmarkEnd w:id="0"/>
    <w:p w:rsidR="00357CC1" w:rsidRPr="00A85CFB" w:rsidRDefault="00A85CFB" w:rsidP="000200B0">
      <w:pPr>
        <w:rPr>
          <w:rFonts w:asciiTheme="minorHAnsi" w:hAnsiTheme="minorHAnsi"/>
          <w:sz w:val="20"/>
          <w:szCs w:val="20"/>
        </w:rPr>
      </w:pPr>
      <w:r w:rsidRPr="000E15DF">
        <w:rPr>
          <w:rFonts w:asciiTheme="minorHAnsi" w:hAnsiTheme="minorHAnsi"/>
          <w:sz w:val="20"/>
          <w:szCs w:val="20"/>
        </w:rPr>
        <w:t>*</w:t>
      </w:r>
      <w:r>
        <w:rPr>
          <w:rFonts w:asciiTheme="minorHAnsi" w:hAnsiTheme="minorHAnsi"/>
          <w:sz w:val="20"/>
          <w:szCs w:val="20"/>
        </w:rPr>
        <w:t xml:space="preserve"> Due to confidentiality constraints, in some instances breakdowns may not be available due to small numbers</w:t>
      </w:r>
    </w:p>
    <w:sectPr w:rsidR="00357CC1" w:rsidRPr="00A85CFB" w:rsidSect="008F671D">
      <w:headerReference w:type="default" r:id="rId13"/>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993" w:rsidRDefault="005C4993" w:rsidP="008F671D">
      <w:r>
        <w:separator/>
      </w:r>
    </w:p>
  </w:endnote>
  <w:endnote w:type="continuationSeparator" w:id="0">
    <w:p w:rsidR="005C4993" w:rsidRDefault="005C4993"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993" w:rsidRDefault="005C4993" w:rsidP="008F671D">
      <w:r>
        <w:separator/>
      </w:r>
    </w:p>
  </w:footnote>
  <w:footnote w:type="continuationSeparator" w:id="0">
    <w:p w:rsidR="005C4993" w:rsidRDefault="005C4993"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CC" w:rsidRPr="00E14E8E" w:rsidRDefault="007712CC"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sidR="00823C0A">
      <w:rPr>
        <w:rFonts w:asciiTheme="minorHAnsi" w:hAnsiTheme="minorHAnsi" w:cs="Arial"/>
        <w:b/>
        <w:color w:val="808080" w:themeColor="background1" w:themeShade="80"/>
        <w:sz w:val="28"/>
      </w:rPr>
      <w:t>2021</w:t>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t>MEASUREMENT 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35354"/>
    <w:multiLevelType w:val="hybridMultilevel"/>
    <w:tmpl w:val="378092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200B0"/>
    <w:rsid w:val="000200B0"/>
    <w:rsid w:val="000515AB"/>
    <w:rsid w:val="000531B5"/>
    <w:rsid w:val="00060B9C"/>
    <w:rsid w:val="000660A1"/>
    <w:rsid w:val="0006771F"/>
    <w:rsid w:val="0008741F"/>
    <w:rsid w:val="00095AB2"/>
    <w:rsid w:val="000B1BD2"/>
    <w:rsid w:val="000E43D4"/>
    <w:rsid w:val="000E75A3"/>
    <w:rsid w:val="00113C75"/>
    <w:rsid w:val="00127A62"/>
    <w:rsid w:val="001425E1"/>
    <w:rsid w:val="001668A0"/>
    <w:rsid w:val="001849F8"/>
    <w:rsid w:val="001863BB"/>
    <w:rsid w:val="001C2C68"/>
    <w:rsid w:val="001D1AD8"/>
    <w:rsid w:val="001D69FA"/>
    <w:rsid w:val="001F141E"/>
    <w:rsid w:val="002275CC"/>
    <w:rsid w:val="00235BC7"/>
    <w:rsid w:val="00254DA2"/>
    <w:rsid w:val="00282FAE"/>
    <w:rsid w:val="002C160C"/>
    <w:rsid w:val="002F4E1D"/>
    <w:rsid w:val="00316D9E"/>
    <w:rsid w:val="00324526"/>
    <w:rsid w:val="0032479C"/>
    <w:rsid w:val="00331978"/>
    <w:rsid w:val="00341C45"/>
    <w:rsid w:val="00357CC1"/>
    <w:rsid w:val="00357EB0"/>
    <w:rsid w:val="00372264"/>
    <w:rsid w:val="00376AD3"/>
    <w:rsid w:val="00377F2C"/>
    <w:rsid w:val="00397F49"/>
    <w:rsid w:val="003B013B"/>
    <w:rsid w:val="003C1DB6"/>
    <w:rsid w:val="003C4441"/>
    <w:rsid w:val="003D066F"/>
    <w:rsid w:val="003E6FDF"/>
    <w:rsid w:val="003F0FF6"/>
    <w:rsid w:val="003F1D3A"/>
    <w:rsid w:val="003F74DA"/>
    <w:rsid w:val="00404AD8"/>
    <w:rsid w:val="00423C1B"/>
    <w:rsid w:val="00452D16"/>
    <w:rsid w:val="00465B3F"/>
    <w:rsid w:val="00490179"/>
    <w:rsid w:val="0049269F"/>
    <w:rsid w:val="004A24D7"/>
    <w:rsid w:val="004A3E72"/>
    <w:rsid w:val="004D6771"/>
    <w:rsid w:val="004E462D"/>
    <w:rsid w:val="00503E52"/>
    <w:rsid w:val="00525D17"/>
    <w:rsid w:val="00535359"/>
    <w:rsid w:val="00542BC4"/>
    <w:rsid w:val="005A4695"/>
    <w:rsid w:val="005B441A"/>
    <w:rsid w:val="005B69FE"/>
    <w:rsid w:val="005C4993"/>
    <w:rsid w:val="005C79AD"/>
    <w:rsid w:val="005E386D"/>
    <w:rsid w:val="005F603B"/>
    <w:rsid w:val="00611CCE"/>
    <w:rsid w:val="006B0988"/>
    <w:rsid w:val="006D6E49"/>
    <w:rsid w:val="0071236B"/>
    <w:rsid w:val="007321E3"/>
    <w:rsid w:val="007348B0"/>
    <w:rsid w:val="00735E57"/>
    <w:rsid w:val="00770017"/>
    <w:rsid w:val="007712CC"/>
    <w:rsid w:val="007841CC"/>
    <w:rsid w:val="007A1746"/>
    <w:rsid w:val="007D0190"/>
    <w:rsid w:val="007D4CA2"/>
    <w:rsid w:val="00806A6E"/>
    <w:rsid w:val="00823C0A"/>
    <w:rsid w:val="00837F05"/>
    <w:rsid w:val="00882FF5"/>
    <w:rsid w:val="008B6781"/>
    <w:rsid w:val="008F167D"/>
    <w:rsid w:val="008F671D"/>
    <w:rsid w:val="00900676"/>
    <w:rsid w:val="009373F2"/>
    <w:rsid w:val="0094608E"/>
    <w:rsid w:val="00952736"/>
    <w:rsid w:val="009744B1"/>
    <w:rsid w:val="00977923"/>
    <w:rsid w:val="00980EC4"/>
    <w:rsid w:val="009C1900"/>
    <w:rsid w:val="009C41FB"/>
    <w:rsid w:val="009C49ED"/>
    <w:rsid w:val="00A0388B"/>
    <w:rsid w:val="00A422E3"/>
    <w:rsid w:val="00A42C48"/>
    <w:rsid w:val="00A42FCB"/>
    <w:rsid w:val="00A4566B"/>
    <w:rsid w:val="00A535C2"/>
    <w:rsid w:val="00A71F94"/>
    <w:rsid w:val="00A85CFB"/>
    <w:rsid w:val="00AA3C83"/>
    <w:rsid w:val="00AE2092"/>
    <w:rsid w:val="00AE6B78"/>
    <w:rsid w:val="00AF7E1A"/>
    <w:rsid w:val="00B151E2"/>
    <w:rsid w:val="00B36140"/>
    <w:rsid w:val="00B447B9"/>
    <w:rsid w:val="00B6370C"/>
    <w:rsid w:val="00B8684A"/>
    <w:rsid w:val="00BD4124"/>
    <w:rsid w:val="00C305E8"/>
    <w:rsid w:val="00C5024A"/>
    <w:rsid w:val="00C50CB4"/>
    <w:rsid w:val="00C8103D"/>
    <w:rsid w:val="00C95F71"/>
    <w:rsid w:val="00CA12E6"/>
    <w:rsid w:val="00CC4122"/>
    <w:rsid w:val="00CC548C"/>
    <w:rsid w:val="00CC6FCC"/>
    <w:rsid w:val="00CD441C"/>
    <w:rsid w:val="00CE3F7A"/>
    <w:rsid w:val="00D172FC"/>
    <w:rsid w:val="00DB2A18"/>
    <w:rsid w:val="00E14E8E"/>
    <w:rsid w:val="00E5374D"/>
    <w:rsid w:val="00E64CD3"/>
    <w:rsid w:val="00EA25BE"/>
    <w:rsid w:val="00ED6FEE"/>
    <w:rsid w:val="00EF2DD6"/>
    <w:rsid w:val="00EF610E"/>
    <w:rsid w:val="00F16D3B"/>
    <w:rsid w:val="00F2310C"/>
    <w:rsid w:val="00F35BC1"/>
    <w:rsid w:val="00F47F63"/>
    <w:rsid w:val="00F778CC"/>
    <w:rsid w:val="00F81E8B"/>
    <w:rsid w:val="00FA749E"/>
    <w:rsid w:val="00FB47D0"/>
    <w:rsid w:val="00FC5665"/>
    <w:rsid w:val="00FC6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20A58-AAAD-4B2E-BDB7-B24D6995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712CC"/>
    <w:rPr>
      <w:color w:val="800080" w:themeColor="followedHyperlink"/>
      <w:u w:val="single"/>
    </w:rPr>
  </w:style>
  <w:style w:type="character" w:customStyle="1" w:styleId="A5">
    <w:name w:val="A5"/>
    <w:uiPriority w:val="99"/>
    <w:rsid w:val="007712CC"/>
    <w:rPr>
      <w:rFonts w:cs="Myriad Pro"/>
      <w:color w:val="000000"/>
      <w:sz w:val="22"/>
      <w:szCs w:val="22"/>
    </w:rPr>
  </w:style>
  <w:style w:type="character" w:styleId="CommentReference">
    <w:name w:val="annotation reference"/>
    <w:basedOn w:val="DefaultParagraphFont"/>
    <w:uiPriority w:val="99"/>
    <w:semiHidden/>
    <w:unhideWhenUsed/>
    <w:rsid w:val="00EF610E"/>
    <w:rPr>
      <w:sz w:val="16"/>
      <w:szCs w:val="16"/>
    </w:rPr>
  </w:style>
  <w:style w:type="paragraph" w:styleId="CommentText">
    <w:name w:val="annotation text"/>
    <w:basedOn w:val="Normal"/>
    <w:link w:val="CommentTextChar"/>
    <w:uiPriority w:val="99"/>
    <w:semiHidden/>
    <w:unhideWhenUsed/>
    <w:rsid w:val="00EF610E"/>
    <w:rPr>
      <w:sz w:val="20"/>
      <w:szCs w:val="20"/>
    </w:rPr>
  </w:style>
  <w:style w:type="character" w:customStyle="1" w:styleId="CommentTextChar">
    <w:name w:val="Comment Text Char"/>
    <w:basedOn w:val="DefaultParagraphFont"/>
    <w:link w:val="CommentText"/>
    <w:uiPriority w:val="99"/>
    <w:semiHidden/>
    <w:rsid w:val="00EF61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610E"/>
    <w:rPr>
      <w:b/>
      <w:bCs/>
    </w:rPr>
  </w:style>
  <w:style w:type="character" w:customStyle="1" w:styleId="CommentSubjectChar">
    <w:name w:val="Comment Subject Char"/>
    <w:basedOn w:val="CommentTextChar"/>
    <w:link w:val="CommentSubject"/>
    <w:uiPriority w:val="99"/>
    <w:semiHidden/>
    <w:rsid w:val="00EF610E"/>
    <w:rPr>
      <w:rFonts w:ascii="Times New Roman" w:eastAsia="Times New Roman" w:hAnsi="Times New Roman" w:cs="Times New Roman"/>
      <w:b/>
      <w:bCs/>
      <w:sz w:val="20"/>
      <w:szCs w:val="20"/>
    </w:rPr>
  </w:style>
  <w:style w:type="paragraph" w:styleId="ListParagraph">
    <w:name w:val="List Paragraph"/>
    <w:basedOn w:val="Normal"/>
    <w:uiPriority w:val="34"/>
    <w:qFormat/>
    <w:rsid w:val="00095AB2"/>
    <w:pPr>
      <w:ind w:left="720"/>
    </w:pPr>
    <w:rPr>
      <w:rFonts w:ascii="Calibri" w:eastAsiaTheme="minorHAnsi" w:hAnsi="Calibri"/>
      <w:sz w:val="22"/>
      <w:szCs w:val="22"/>
      <w:lang w:eastAsia="en-GB"/>
    </w:rPr>
  </w:style>
  <w:style w:type="paragraph" w:customStyle="1" w:styleId="Default">
    <w:name w:val="Default"/>
    <w:rsid w:val="00376AD3"/>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5B4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798375487">
      <w:bodyDiv w:val="1"/>
      <w:marLeft w:val="0"/>
      <w:marRight w:val="0"/>
      <w:marTop w:val="0"/>
      <w:marBottom w:val="0"/>
      <w:divBdr>
        <w:top w:val="none" w:sz="0" w:space="0" w:color="auto"/>
        <w:left w:val="none" w:sz="0" w:space="0" w:color="auto"/>
        <w:bottom w:val="none" w:sz="0" w:space="0" w:color="auto"/>
        <w:right w:val="none" w:sz="0" w:space="0" w:color="auto"/>
      </w:divBdr>
    </w:div>
    <w:div w:id="998385123">
      <w:bodyDiv w:val="1"/>
      <w:marLeft w:val="0"/>
      <w:marRight w:val="0"/>
      <w:marTop w:val="0"/>
      <w:marBottom w:val="0"/>
      <w:divBdr>
        <w:top w:val="none" w:sz="0" w:space="0" w:color="auto"/>
        <w:left w:val="none" w:sz="0" w:space="0" w:color="auto"/>
        <w:bottom w:val="none" w:sz="0" w:space="0" w:color="auto"/>
        <w:right w:val="none" w:sz="0" w:space="0" w:color="auto"/>
      </w:divBdr>
    </w:div>
    <w:div w:id="1013654362">
      <w:bodyDiv w:val="1"/>
      <w:marLeft w:val="0"/>
      <w:marRight w:val="0"/>
      <w:marTop w:val="0"/>
      <w:marBottom w:val="0"/>
      <w:divBdr>
        <w:top w:val="none" w:sz="0" w:space="0" w:color="auto"/>
        <w:left w:val="none" w:sz="0" w:space="0" w:color="auto"/>
        <w:bottom w:val="none" w:sz="0" w:space="0" w:color="auto"/>
        <w:right w:val="none" w:sz="0" w:space="0" w:color="auto"/>
      </w:divBdr>
    </w:div>
    <w:div w:id="1426027886">
      <w:bodyDiv w:val="1"/>
      <w:marLeft w:val="0"/>
      <w:marRight w:val="0"/>
      <w:marTop w:val="0"/>
      <w:marBottom w:val="0"/>
      <w:divBdr>
        <w:top w:val="none" w:sz="0" w:space="0" w:color="auto"/>
        <w:left w:val="none" w:sz="0" w:space="0" w:color="auto"/>
        <w:bottom w:val="none" w:sz="0" w:space="0" w:color="auto"/>
        <w:right w:val="none" w:sz="0" w:space="0" w:color="auto"/>
      </w:divBdr>
    </w:div>
    <w:div w:id="1640839191">
      <w:bodyDiv w:val="1"/>
      <w:marLeft w:val="0"/>
      <w:marRight w:val="0"/>
      <w:marTop w:val="0"/>
      <w:marBottom w:val="0"/>
      <w:divBdr>
        <w:top w:val="none" w:sz="0" w:space="0" w:color="auto"/>
        <w:left w:val="none" w:sz="0" w:space="0" w:color="auto"/>
        <w:bottom w:val="none" w:sz="0" w:space="0" w:color="auto"/>
        <w:right w:val="none" w:sz="0" w:space="0" w:color="auto"/>
      </w:divBdr>
    </w:div>
    <w:div w:id="1696882220">
      <w:bodyDiv w:val="1"/>
      <w:marLeft w:val="0"/>
      <w:marRight w:val="0"/>
      <w:marTop w:val="0"/>
      <w:marBottom w:val="0"/>
      <w:divBdr>
        <w:top w:val="none" w:sz="0" w:space="0" w:color="auto"/>
        <w:left w:val="none" w:sz="0" w:space="0" w:color="auto"/>
        <w:bottom w:val="none" w:sz="0" w:space="0" w:color="auto"/>
        <w:right w:val="none" w:sz="0" w:space="0" w:color="auto"/>
      </w:divBdr>
    </w:div>
    <w:div w:id="1728604390">
      <w:bodyDiv w:val="1"/>
      <w:marLeft w:val="0"/>
      <w:marRight w:val="0"/>
      <w:marTop w:val="0"/>
      <w:marBottom w:val="0"/>
      <w:divBdr>
        <w:top w:val="none" w:sz="0" w:space="0" w:color="auto"/>
        <w:left w:val="none" w:sz="0" w:space="0" w:color="auto"/>
        <w:bottom w:val="none" w:sz="0" w:space="0" w:color="auto"/>
        <w:right w:val="none" w:sz="0" w:space="0" w:color="auto"/>
      </w:divBdr>
    </w:div>
    <w:div w:id="1779174872">
      <w:bodyDiv w:val="1"/>
      <w:marLeft w:val="0"/>
      <w:marRight w:val="0"/>
      <w:marTop w:val="0"/>
      <w:marBottom w:val="0"/>
      <w:divBdr>
        <w:top w:val="none" w:sz="0" w:space="0" w:color="auto"/>
        <w:left w:val="none" w:sz="0" w:space="0" w:color="auto"/>
        <w:bottom w:val="none" w:sz="0" w:space="0" w:color="auto"/>
        <w:right w:val="none" w:sz="0" w:space="0" w:color="auto"/>
      </w:divBdr>
    </w:div>
    <w:div w:id="2010257381">
      <w:bodyDiv w:val="1"/>
      <w:marLeft w:val="0"/>
      <w:marRight w:val="0"/>
      <w:marTop w:val="0"/>
      <w:marBottom w:val="0"/>
      <w:divBdr>
        <w:top w:val="none" w:sz="0" w:space="0" w:color="auto"/>
        <w:left w:val="none" w:sz="0" w:space="0" w:color="auto"/>
        <w:bottom w:val="none" w:sz="0" w:space="0" w:color="auto"/>
        <w:right w:val="none" w:sz="0" w:space="0" w:color="auto"/>
      </w:divBdr>
    </w:div>
    <w:div w:id="2119060859">
      <w:bodyDiv w:val="1"/>
      <w:marLeft w:val="0"/>
      <w:marRight w:val="0"/>
      <w:marTop w:val="0"/>
      <w:marBottom w:val="0"/>
      <w:divBdr>
        <w:top w:val="none" w:sz="0" w:space="0" w:color="auto"/>
        <w:left w:val="none" w:sz="0" w:space="0" w:color="auto"/>
        <w:bottom w:val="none" w:sz="0" w:space="0" w:color="auto"/>
        <w:right w:val="none" w:sz="0" w:space="0" w:color="auto"/>
      </w:divBdr>
    </w:div>
    <w:div w:id="213682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ies-ni.gov.uk/publications/northern-ireland-housing-statistics-2019-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he.gov.uk/northern_ireland_homelessness_strateg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ties-ni.gov.uk/system/files/publications/communities/ni-housing-stats-19-20-tables3.o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mmunities-ni.gov.uk/publications/quality-assurance-administrative-data-northern-ireland-housing-statistics" TargetMode="External"/><Relationship Id="rId4" Type="http://schemas.openxmlformats.org/officeDocument/2006/relationships/settings" Target="settings.xml"/><Relationship Id="rId9" Type="http://schemas.openxmlformats.org/officeDocument/2006/relationships/hyperlink" Target="https://www.communities-ni.gov.uk/publications/northern-ireland-housing-statistics-2019-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E7759-A910-48AF-931B-87435F87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O'Neill</dc:creator>
  <cp:lastModifiedBy>Barbour, Katie</cp:lastModifiedBy>
  <cp:revision>8</cp:revision>
  <cp:lastPrinted>2016-04-11T13:16:00Z</cp:lastPrinted>
  <dcterms:created xsi:type="dcterms:W3CDTF">2020-12-16T15:06:00Z</dcterms:created>
  <dcterms:modified xsi:type="dcterms:W3CDTF">2020-12-18T12:04:00Z</dcterms:modified>
</cp:coreProperties>
</file>