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951"/>
        <w:gridCol w:w="8789"/>
      </w:tblGrid>
      <w:tr w:rsidR="00532AF1" w:rsidRPr="00AE7477" w:rsidTr="0021456F">
        <w:trPr>
          <w:trHeight w:val="397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532AF1" w:rsidRPr="00AE7477" w:rsidRDefault="00532AF1" w:rsidP="00532AF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E7477">
              <w:rPr>
                <w:rFonts w:asciiTheme="minorHAnsi" w:hAnsiTheme="minorHAnsi"/>
                <w:b/>
                <w:sz w:val="22"/>
                <w:szCs w:val="22"/>
              </w:rPr>
              <w:t>Indicator</w:t>
            </w:r>
            <w:r w:rsidR="00EB6003" w:rsidRPr="00AE7477">
              <w:rPr>
                <w:rFonts w:asciiTheme="minorHAnsi" w:hAnsiTheme="minorHAnsi"/>
                <w:b/>
                <w:sz w:val="22"/>
                <w:szCs w:val="22"/>
              </w:rPr>
              <w:t xml:space="preserve"> 34</w:t>
            </w:r>
            <w:r w:rsidRPr="00AE7477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8789" w:type="dxa"/>
            <w:vAlign w:val="center"/>
          </w:tcPr>
          <w:p w:rsidR="00532AF1" w:rsidRPr="00AE7477" w:rsidRDefault="008A6D31" w:rsidP="002119C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E7477">
              <w:rPr>
                <w:rFonts w:asciiTheme="minorHAnsi" w:hAnsiTheme="minorHAnsi" w:cs="Arial"/>
                <w:b/>
                <w:sz w:val="22"/>
                <w:szCs w:val="22"/>
              </w:rPr>
              <w:t xml:space="preserve">Employment rate </w:t>
            </w:r>
            <w:r w:rsidR="008A3430" w:rsidRPr="00AE7477">
              <w:rPr>
                <w:rFonts w:asciiTheme="minorHAnsi" w:hAnsiTheme="minorHAnsi" w:cs="Arial"/>
                <w:b/>
                <w:sz w:val="22"/>
                <w:szCs w:val="22"/>
              </w:rPr>
              <w:t>by council area</w:t>
            </w:r>
          </w:p>
          <w:p w:rsidR="00453FE7" w:rsidRPr="00AE7477" w:rsidRDefault="002119C6" w:rsidP="002119C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E7477">
              <w:rPr>
                <w:rFonts w:asciiTheme="minorHAnsi" w:hAnsiTheme="minorHAnsi" w:cs="Arial"/>
                <w:b/>
                <w:sz w:val="22"/>
                <w:szCs w:val="22"/>
              </w:rPr>
              <w:t>Outcomes 1</w:t>
            </w:r>
            <w:r w:rsidR="00453FE7" w:rsidRPr="00AE7477">
              <w:rPr>
                <w:rFonts w:asciiTheme="minorHAnsi" w:hAnsiTheme="minorHAnsi" w:cs="Arial"/>
                <w:b/>
                <w:sz w:val="22"/>
                <w:szCs w:val="22"/>
              </w:rPr>
              <w:t>: We prosper through a strong, competitive, regionally balanced economy</w:t>
            </w:r>
          </w:p>
          <w:p w:rsidR="00453FE7" w:rsidRPr="00AE7477" w:rsidRDefault="00453FE7" w:rsidP="002119C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E7477">
              <w:rPr>
                <w:rFonts w:asciiTheme="minorHAnsi" w:hAnsiTheme="minorHAnsi" w:cs="Arial"/>
                <w:b/>
                <w:sz w:val="22"/>
                <w:szCs w:val="22"/>
              </w:rPr>
              <w:t>Outcome</w:t>
            </w:r>
            <w:r w:rsidR="002119C6" w:rsidRPr="00AE7477">
              <w:rPr>
                <w:rFonts w:asciiTheme="minorHAnsi" w:hAnsiTheme="minorHAnsi" w:cs="Arial"/>
                <w:b/>
                <w:sz w:val="22"/>
                <w:szCs w:val="22"/>
              </w:rPr>
              <w:t xml:space="preserve"> 3</w:t>
            </w:r>
            <w:r w:rsidRPr="00AE7477">
              <w:rPr>
                <w:rFonts w:asciiTheme="minorHAnsi" w:hAnsiTheme="minorHAnsi" w:cs="Arial"/>
                <w:b/>
                <w:sz w:val="22"/>
                <w:szCs w:val="22"/>
              </w:rPr>
              <w:t>: We have a more equal society</w:t>
            </w:r>
          </w:p>
          <w:p w:rsidR="002119C6" w:rsidRPr="00AE7477" w:rsidRDefault="00453FE7" w:rsidP="00453FE7">
            <w:pPr>
              <w:rPr>
                <w:rFonts w:asciiTheme="minorHAnsi" w:hAnsiTheme="minorHAnsi"/>
                <w:b/>
                <w:strike/>
                <w:sz w:val="22"/>
                <w:szCs w:val="22"/>
              </w:rPr>
            </w:pPr>
            <w:r w:rsidRPr="00AE7477">
              <w:rPr>
                <w:rFonts w:asciiTheme="minorHAnsi" w:hAnsiTheme="minorHAnsi" w:cs="Arial"/>
                <w:b/>
                <w:sz w:val="22"/>
                <w:szCs w:val="22"/>
              </w:rPr>
              <w:t>Outcome</w:t>
            </w:r>
            <w:r w:rsidR="002119C6" w:rsidRPr="00AE7477">
              <w:rPr>
                <w:rFonts w:asciiTheme="minorHAnsi" w:hAnsiTheme="minorHAnsi" w:cs="Arial"/>
                <w:b/>
                <w:sz w:val="22"/>
                <w:szCs w:val="22"/>
              </w:rPr>
              <w:t xml:space="preserve"> 6</w:t>
            </w:r>
            <w:r w:rsidRPr="00AE7477">
              <w:rPr>
                <w:rFonts w:asciiTheme="minorHAnsi" w:hAnsiTheme="minorHAnsi" w:cs="Arial"/>
                <w:b/>
                <w:sz w:val="22"/>
                <w:szCs w:val="22"/>
              </w:rPr>
              <w:t>: We have more people working in better jobs</w:t>
            </w:r>
          </w:p>
        </w:tc>
      </w:tr>
    </w:tbl>
    <w:p w:rsidR="002F1337" w:rsidRPr="00AE7477" w:rsidRDefault="002F1337" w:rsidP="002F1337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10740" w:type="dxa"/>
        <w:tblLayout w:type="fixed"/>
        <w:tblLook w:val="04A0" w:firstRow="1" w:lastRow="0" w:firstColumn="1" w:lastColumn="0" w:noHBand="0" w:noVBand="1"/>
      </w:tblPr>
      <w:tblGrid>
        <w:gridCol w:w="1980"/>
        <w:gridCol w:w="8221"/>
        <w:gridCol w:w="539"/>
      </w:tblGrid>
      <w:tr w:rsidR="00532AF1" w:rsidRPr="00AE7477" w:rsidTr="00AE7477">
        <w:trPr>
          <w:trHeight w:val="340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532AF1" w:rsidRPr="00AE7477" w:rsidRDefault="00532AF1" w:rsidP="001E691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E7477">
              <w:rPr>
                <w:rFonts w:asciiTheme="minorHAnsi" w:hAnsiTheme="minorHAnsi"/>
                <w:b/>
                <w:sz w:val="22"/>
                <w:szCs w:val="22"/>
              </w:rPr>
              <w:t xml:space="preserve">Responsible Statistician: </w:t>
            </w:r>
          </w:p>
        </w:tc>
        <w:tc>
          <w:tcPr>
            <w:tcW w:w="8760" w:type="dxa"/>
            <w:gridSpan w:val="2"/>
            <w:vAlign w:val="center"/>
          </w:tcPr>
          <w:p w:rsidR="00532AF1" w:rsidRPr="00AE7477" w:rsidRDefault="008A6D31" w:rsidP="00532AF1">
            <w:pPr>
              <w:rPr>
                <w:rFonts w:asciiTheme="minorHAnsi" w:hAnsiTheme="minorHAnsi"/>
                <w:sz w:val="22"/>
                <w:szCs w:val="22"/>
              </w:rPr>
            </w:pPr>
            <w:r w:rsidRPr="00AE7477">
              <w:rPr>
                <w:rFonts w:asciiTheme="minorHAnsi" w:hAnsiTheme="minorHAnsi"/>
                <w:sz w:val="22"/>
                <w:szCs w:val="22"/>
              </w:rPr>
              <w:t>Gerard Colgan</w:t>
            </w:r>
            <w:r w:rsidR="00532AF1" w:rsidRPr="00AE7477">
              <w:rPr>
                <w:rFonts w:asciiTheme="minorHAnsi" w:hAnsiTheme="minorHAnsi"/>
                <w:sz w:val="22"/>
                <w:szCs w:val="22"/>
              </w:rPr>
              <w:t>, Department of Finance</w:t>
            </w:r>
          </w:p>
        </w:tc>
      </w:tr>
      <w:tr w:rsidR="00532AF1" w:rsidRPr="00AE7477" w:rsidTr="00AE7477">
        <w:trPr>
          <w:trHeight w:val="340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532AF1" w:rsidRPr="00AE7477" w:rsidRDefault="00532AF1" w:rsidP="001E691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E7477">
              <w:rPr>
                <w:rFonts w:asciiTheme="minorHAnsi" w:hAnsiTheme="minorHAnsi"/>
                <w:b/>
                <w:sz w:val="22"/>
                <w:szCs w:val="22"/>
              </w:rPr>
              <w:t>Web Link to Statistical Publication:</w:t>
            </w:r>
          </w:p>
        </w:tc>
        <w:tc>
          <w:tcPr>
            <w:tcW w:w="8760" w:type="dxa"/>
            <w:gridSpan w:val="2"/>
            <w:vAlign w:val="center"/>
          </w:tcPr>
          <w:p w:rsidR="00E83A11" w:rsidRPr="00AE7477" w:rsidRDefault="00FE27F6" w:rsidP="00532AF1">
            <w:pPr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hyperlink r:id="rId8" w:history="1">
              <w:r w:rsidR="00D91E22" w:rsidRPr="00AE747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https://www.nisra.gov.uk/publications/labour-force-survey-annual-report-2019</w:t>
              </w:r>
            </w:hyperlink>
          </w:p>
          <w:p w:rsidR="00D91E22" w:rsidRPr="00AE7477" w:rsidRDefault="00D91E22" w:rsidP="00532AF1">
            <w:pPr>
              <w:rPr>
                <w:rFonts w:asciiTheme="minorHAnsi" w:hAnsiTheme="minorHAnsi"/>
                <w:color w:val="0000FF"/>
                <w:sz w:val="22"/>
                <w:szCs w:val="22"/>
                <w:u w:val="single"/>
              </w:rPr>
            </w:pPr>
          </w:p>
        </w:tc>
      </w:tr>
      <w:tr w:rsidR="00532AF1" w:rsidRPr="00AE7477" w:rsidTr="00AE7477">
        <w:trPr>
          <w:trHeight w:val="340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532AF1" w:rsidRPr="00AE7477" w:rsidRDefault="00532AF1" w:rsidP="001E691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E7477">
              <w:rPr>
                <w:rFonts w:asciiTheme="minorHAnsi" w:hAnsiTheme="minorHAnsi"/>
                <w:b/>
                <w:sz w:val="22"/>
                <w:szCs w:val="22"/>
              </w:rPr>
              <w:t>Frequency of update:</w:t>
            </w:r>
          </w:p>
        </w:tc>
        <w:tc>
          <w:tcPr>
            <w:tcW w:w="8760" w:type="dxa"/>
            <w:gridSpan w:val="2"/>
            <w:vAlign w:val="center"/>
          </w:tcPr>
          <w:p w:rsidR="00532AF1" w:rsidRPr="00AE7477" w:rsidRDefault="008A6D31" w:rsidP="00532AF1">
            <w:pPr>
              <w:rPr>
                <w:rFonts w:asciiTheme="minorHAnsi" w:hAnsiTheme="minorHAnsi"/>
                <w:sz w:val="22"/>
                <w:szCs w:val="22"/>
              </w:rPr>
            </w:pPr>
            <w:r w:rsidRPr="00AE7477">
              <w:rPr>
                <w:rFonts w:asciiTheme="minorHAnsi" w:hAnsiTheme="minorHAnsi"/>
                <w:sz w:val="22"/>
                <w:szCs w:val="22"/>
              </w:rPr>
              <w:t>Annual</w:t>
            </w:r>
          </w:p>
        </w:tc>
      </w:tr>
      <w:tr w:rsidR="00532AF1" w:rsidRPr="00AE7477" w:rsidTr="00AE7477">
        <w:trPr>
          <w:trHeight w:val="340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532AF1" w:rsidRPr="00AE7477" w:rsidRDefault="00532AF1" w:rsidP="001E691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E7477">
              <w:rPr>
                <w:rFonts w:asciiTheme="minorHAnsi" w:hAnsiTheme="minorHAnsi"/>
                <w:b/>
                <w:sz w:val="22"/>
                <w:szCs w:val="22"/>
              </w:rPr>
              <w:t>Time lag:</w:t>
            </w:r>
          </w:p>
        </w:tc>
        <w:tc>
          <w:tcPr>
            <w:tcW w:w="8760" w:type="dxa"/>
            <w:gridSpan w:val="2"/>
            <w:vAlign w:val="center"/>
          </w:tcPr>
          <w:p w:rsidR="00532AF1" w:rsidRPr="00AE7477" w:rsidRDefault="006C3075" w:rsidP="002119C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</w:t>
            </w:r>
            <w:r w:rsidR="00E27C4A" w:rsidRPr="00AE7477">
              <w:rPr>
                <w:rFonts w:asciiTheme="minorHAnsi" w:hAnsiTheme="minorHAnsi"/>
                <w:sz w:val="22"/>
                <w:szCs w:val="22"/>
              </w:rPr>
              <w:t xml:space="preserve"> months</w:t>
            </w:r>
          </w:p>
        </w:tc>
      </w:tr>
      <w:tr w:rsidR="00532AF1" w:rsidRPr="00AE7477" w:rsidTr="00AE7477">
        <w:trPr>
          <w:trHeight w:val="340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532AF1" w:rsidRPr="00AE7477" w:rsidRDefault="00532AF1" w:rsidP="001E691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E7477">
              <w:rPr>
                <w:rFonts w:asciiTheme="minorHAnsi" w:hAnsiTheme="minorHAnsi"/>
                <w:b/>
                <w:sz w:val="22"/>
                <w:szCs w:val="22"/>
              </w:rPr>
              <w:t>Data Source:</w:t>
            </w:r>
          </w:p>
        </w:tc>
        <w:tc>
          <w:tcPr>
            <w:tcW w:w="8760" w:type="dxa"/>
            <w:gridSpan w:val="2"/>
            <w:vAlign w:val="center"/>
          </w:tcPr>
          <w:p w:rsidR="00532AF1" w:rsidRPr="00AE7477" w:rsidRDefault="00532AF1" w:rsidP="00532AF1">
            <w:pPr>
              <w:rPr>
                <w:rFonts w:asciiTheme="minorHAnsi" w:hAnsiTheme="minorHAnsi"/>
                <w:sz w:val="22"/>
                <w:szCs w:val="22"/>
              </w:rPr>
            </w:pPr>
            <w:r w:rsidRPr="00AE7477">
              <w:rPr>
                <w:rFonts w:asciiTheme="minorHAnsi" w:hAnsiTheme="minorHAnsi"/>
                <w:sz w:val="22"/>
                <w:szCs w:val="22"/>
              </w:rPr>
              <w:t>Labour Force Survey (LFS)</w:t>
            </w:r>
          </w:p>
        </w:tc>
      </w:tr>
      <w:tr w:rsidR="00532AF1" w:rsidRPr="00AE7477" w:rsidTr="00AE7477">
        <w:trPr>
          <w:trHeight w:val="340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532AF1" w:rsidRPr="00AE7477" w:rsidRDefault="00532AF1" w:rsidP="001E691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E7477">
              <w:rPr>
                <w:rFonts w:asciiTheme="minorHAnsi" w:hAnsiTheme="minorHAnsi"/>
                <w:b/>
                <w:sz w:val="22"/>
                <w:szCs w:val="22"/>
              </w:rPr>
              <w:t>National Statistics Status</w:t>
            </w:r>
          </w:p>
        </w:tc>
        <w:tc>
          <w:tcPr>
            <w:tcW w:w="8760" w:type="dxa"/>
            <w:gridSpan w:val="2"/>
            <w:vAlign w:val="center"/>
          </w:tcPr>
          <w:p w:rsidR="00532AF1" w:rsidRPr="00AE7477" w:rsidRDefault="00900C4D" w:rsidP="00532AF1">
            <w:pPr>
              <w:rPr>
                <w:rFonts w:asciiTheme="minorHAnsi" w:hAnsiTheme="minorHAnsi"/>
                <w:sz w:val="22"/>
                <w:szCs w:val="22"/>
              </w:rPr>
            </w:pPr>
            <w:r w:rsidRPr="00AE7477">
              <w:rPr>
                <w:rFonts w:asciiTheme="minorHAnsi" w:hAnsiTheme="minorHAnsi"/>
                <w:sz w:val="22"/>
                <w:szCs w:val="22"/>
              </w:rPr>
              <w:t>National Statistics</w:t>
            </w:r>
          </w:p>
        </w:tc>
      </w:tr>
      <w:tr w:rsidR="00532AF1" w:rsidRPr="00AE7477" w:rsidTr="00AE7477">
        <w:trPr>
          <w:trHeight w:val="340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532AF1" w:rsidRPr="00AE7477" w:rsidRDefault="00532AF1" w:rsidP="001E691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E7477">
              <w:rPr>
                <w:rFonts w:asciiTheme="minorHAnsi" w:hAnsiTheme="minorHAnsi"/>
                <w:b/>
                <w:sz w:val="22"/>
                <w:szCs w:val="22"/>
              </w:rPr>
              <w:t>Quality Report:</w:t>
            </w:r>
          </w:p>
        </w:tc>
        <w:tc>
          <w:tcPr>
            <w:tcW w:w="8760" w:type="dxa"/>
            <w:gridSpan w:val="2"/>
            <w:vAlign w:val="center"/>
          </w:tcPr>
          <w:p w:rsidR="00532AF1" w:rsidRPr="00AE7477" w:rsidRDefault="00FE27F6" w:rsidP="00532AF1">
            <w:pPr>
              <w:rPr>
                <w:rFonts w:asciiTheme="minorHAnsi" w:hAnsiTheme="minorHAnsi"/>
                <w:sz w:val="22"/>
                <w:szCs w:val="22"/>
              </w:rPr>
            </w:pPr>
            <w:hyperlink r:id="rId9" w:history="1">
              <w:r w:rsidR="00532AF1" w:rsidRPr="00AE747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ONS Quality and Methodology Information</w:t>
              </w:r>
            </w:hyperlink>
          </w:p>
        </w:tc>
      </w:tr>
      <w:tr w:rsidR="00532AF1" w:rsidRPr="00AE7477" w:rsidTr="00AE7477">
        <w:trPr>
          <w:trHeight w:val="340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532AF1" w:rsidRPr="00AE7477" w:rsidRDefault="00532AF1" w:rsidP="001E691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E7477">
              <w:rPr>
                <w:rFonts w:asciiTheme="minorHAnsi" w:hAnsiTheme="minorHAnsi"/>
                <w:b/>
                <w:sz w:val="22"/>
                <w:szCs w:val="22"/>
              </w:rPr>
              <w:t>Historic Data available from:</w:t>
            </w:r>
          </w:p>
        </w:tc>
        <w:tc>
          <w:tcPr>
            <w:tcW w:w="8760" w:type="dxa"/>
            <w:gridSpan w:val="2"/>
            <w:vAlign w:val="center"/>
          </w:tcPr>
          <w:p w:rsidR="00532AF1" w:rsidRPr="00AE7477" w:rsidRDefault="00532AF1" w:rsidP="00532AF1">
            <w:pPr>
              <w:rPr>
                <w:rFonts w:asciiTheme="minorHAnsi" w:hAnsiTheme="minorHAnsi"/>
                <w:sz w:val="22"/>
                <w:szCs w:val="22"/>
              </w:rPr>
            </w:pPr>
            <w:r w:rsidRPr="00AE7477">
              <w:rPr>
                <w:rFonts w:asciiTheme="minorHAnsi" w:hAnsiTheme="minorHAnsi"/>
                <w:sz w:val="22"/>
                <w:szCs w:val="22"/>
              </w:rPr>
              <w:t>January – December 2009</w:t>
            </w:r>
          </w:p>
        </w:tc>
      </w:tr>
      <w:tr w:rsidR="00532AF1" w:rsidRPr="00AE7477" w:rsidTr="00AE7477">
        <w:trPr>
          <w:trHeight w:val="3685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532AF1" w:rsidRPr="00AE7477" w:rsidRDefault="00532AF1" w:rsidP="001E691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E7477">
              <w:rPr>
                <w:rFonts w:asciiTheme="minorHAnsi" w:hAnsiTheme="minorHAnsi"/>
                <w:b/>
                <w:sz w:val="22"/>
                <w:szCs w:val="22"/>
              </w:rPr>
              <w:t xml:space="preserve">Time-series trend: </w:t>
            </w:r>
          </w:p>
          <w:p w:rsidR="00532AF1" w:rsidRPr="00AE7477" w:rsidRDefault="00532AF1" w:rsidP="001E691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532AF1" w:rsidRPr="00AE7477" w:rsidRDefault="00532AF1" w:rsidP="001E691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760" w:type="dxa"/>
            <w:gridSpan w:val="2"/>
            <w:vAlign w:val="center"/>
          </w:tcPr>
          <w:p w:rsidR="00CD32D3" w:rsidRPr="00AE7477" w:rsidRDefault="008A3430" w:rsidP="008A3430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  <w:lang w:eastAsia="en-GB"/>
              </w:rPr>
            </w:pPr>
            <w:r w:rsidRPr="00AE7477">
              <w:rPr>
                <w:rFonts w:asciiTheme="minorHAnsi" w:hAnsiTheme="minorHAnsi"/>
                <w:b/>
                <w:color w:val="000000"/>
                <w:sz w:val="22"/>
                <w:szCs w:val="22"/>
                <w:lang w:eastAsia="en-GB"/>
              </w:rPr>
              <w:t>E</w:t>
            </w:r>
            <w:r w:rsidR="00532AF1" w:rsidRPr="00AE7477">
              <w:rPr>
                <w:rFonts w:asciiTheme="minorHAnsi" w:hAnsiTheme="minorHAnsi"/>
                <w:b/>
                <w:color w:val="000000"/>
                <w:sz w:val="22"/>
                <w:szCs w:val="22"/>
                <w:lang w:eastAsia="en-GB"/>
              </w:rPr>
              <w:t xml:space="preserve">mployment rate (16-64) by </w:t>
            </w:r>
            <w:r w:rsidR="00CF1015" w:rsidRPr="00AE7477">
              <w:rPr>
                <w:rFonts w:asciiTheme="minorHAnsi" w:hAnsiTheme="minorHAnsi"/>
                <w:b/>
                <w:color w:val="000000"/>
                <w:sz w:val="22"/>
                <w:szCs w:val="22"/>
                <w:lang w:eastAsia="en-GB"/>
              </w:rPr>
              <w:t>Local Government District</w:t>
            </w:r>
          </w:p>
          <w:p w:rsidR="00937DE9" w:rsidRPr="00AE7477" w:rsidRDefault="00937DE9" w:rsidP="00937DE9">
            <w:pPr>
              <w:rPr>
                <w:rFonts w:asciiTheme="minorHAnsi" w:hAnsiTheme="minorHAnsi"/>
                <w:b/>
                <w:color w:val="000000"/>
                <w:sz w:val="22"/>
                <w:szCs w:val="22"/>
                <w:lang w:eastAsia="en-GB"/>
              </w:rPr>
            </w:pPr>
          </w:p>
          <w:tbl>
            <w:tblPr>
              <w:tblW w:w="8882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441"/>
              <w:gridCol w:w="793"/>
              <w:gridCol w:w="664"/>
              <w:gridCol w:w="665"/>
              <w:gridCol w:w="665"/>
              <w:gridCol w:w="665"/>
              <w:gridCol w:w="664"/>
              <w:gridCol w:w="665"/>
              <w:gridCol w:w="665"/>
              <w:gridCol w:w="665"/>
              <w:gridCol w:w="665"/>
              <w:gridCol w:w="665"/>
            </w:tblGrid>
            <w:tr w:rsidR="00587D89" w:rsidRPr="00AE7477" w:rsidTr="00F42593">
              <w:trPr>
                <w:trHeight w:val="310"/>
                <w:jc w:val="center"/>
              </w:trPr>
              <w:tc>
                <w:tcPr>
                  <w:tcW w:w="14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D89" w:rsidRPr="00AE7477" w:rsidRDefault="00587D89" w:rsidP="00703138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AE7477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7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D89" w:rsidRPr="00AE7477" w:rsidRDefault="00587D89" w:rsidP="00703138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E7477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2009</w:t>
                  </w:r>
                </w:p>
              </w:tc>
              <w:tc>
                <w:tcPr>
                  <w:tcW w:w="66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D89" w:rsidRPr="00AE7477" w:rsidRDefault="00587D89" w:rsidP="00703138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E7477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2010</w:t>
                  </w:r>
                </w:p>
              </w:tc>
              <w:tc>
                <w:tcPr>
                  <w:tcW w:w="66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D89" w:rsidRPr="00AE7477" w:rsidRDefault="00587D89" w:rsidP="00703138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E7477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2011</w:t>
                  </w:r>
                </w:p>
              </w:tc>
              <w:tc>
                <w:tcPr>
                  <w:tcW w:w="66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D89" w:rsidRPr="00AE7477" w:rsidRDefault="00587D89" w:rsidP="00703138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E7477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2012</w:t>
                  </w:r>
                </w:p>
              </w:tc>
              <w:tc>
                <w:tcPr>
                  <w:tcW w:w="66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D89" w:rsidRPr="00AE7477" w:rsidRDefault="00587D89" w:rsidP="00703138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E7477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2013</w:t>
                  </w:r>
                </w:p>
              </w:tc>
              <w:tc>
                <w:tcPr>
                  <w:tcW w:w="66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D89" w:rsidRPr="00AE7477" w:rsidRDefault="00587D89" w:rsidP="00703138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E7477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2014</w:t>
                  </w:r>
                </w:p>
              </w:tc>
              <w:tc>
                <w:tcPr>
                  <w:tcW w:w="66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D89" w:rsidRPr="00AE7477" w:rsidRDefault="00587D89" w:rsidP="00703138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E7477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2015</w:t>
                  </w:r>
                </w:p>
              </w:tc>
              <w:tc>
                <w:tcPr>
                  <w:tcW w:w="66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587D89" w:rsidRPr="00AE7477" w:rsidRDefault="00587D89" w:rsidP="00703138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E7477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2016</w:t>
                  </w:r>
                </w:p>
              </w:tc>
              <w:tc>
                <w:tcPr>
                  <w:tcW w:w="66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587D89" w:rsidRPr="00AE7477" w:rsidRDefault="00587D89" w:rsidP="0021456F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E7477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2017</w:t>
                  </w:r>
                </w:p>
              </w:tc>
              <w:tc>
                <w:tcPr>
                  <w:tcW w:w="66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587D89" w:rsidRPr="00AE7477" w:rsidRDefault="00587D89" w:rsidP="00B466F3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E7477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2018</w:t>
                  </w:r>
                </w:p>
              </w:tc>
              <w:tc>
                <w:tcPr>
                  <w:tcW w:w="66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587D89" w:rsidRPr="00AE7477" w:rsidRDefault="00587D89" w:rsidP="00587D89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E7477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2019</w:t>
                  </w:r>
                </w:p>
              </w:tc>
            </w:tr>
            <w:tr w:rsidR="00587D89" w:rsidRPr="00AE7477" w:rsidTr="00F42593">
              <w:trPr>
                <w:trHeight w:val="116"/>
                <w:jc w:val="center"/>
              </w:trPr>
              <w:tc>
                <w:tcPr>
                  <w:tcW w:w="14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D89" w:rsidRPr="00F42593" w:rsidRDefault="00587D89" w:rsidP="00DF7880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22"/>
                      <w:lang w:eastAsia="en-GB"/>
                    </w:rPr>
                  </w:pPr>
                  <w:r w:rsidRPr="00F42593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22"/>
                      <w:lang w:eastAsia="en-GB"/>
                    </w:rPr>
                    <w:t>Antrim and Newtownabbey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D89" w:rsidRPr="00F42593" w:rsidRDefault="00587D89" w:rsidP="00DF7880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F4259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71.9%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D89" w:rsidRPr="00F42593" w:rsidRDefault="00587D89" w:rsidP="00DF7880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F4259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70.6%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D89" w:rsidRPr="00F42593" w:rsidRDefault="00587D89" w:rsidP="00DF7880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F4259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75.4%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D89" w:rsidRPr="00F42593" w:rsidRDefault="00587D89" w:rsidP="00DF7880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F4259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74.3%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D89" w:rsidRPr="00F42593" w:rsidRDefault="00587D89" w:rsidP="00DF7880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F4259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72.1%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D89" w:rsidRPr="00F42593" w:rsidRDefault="00587D89" w:rsidP="00DF7880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F4259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71.5%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D89" w:rsidRPr="00F42593" w:rsidRDefault="00587D89" w:rsidP="00DF7880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F4259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70.8%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587D89" w:rsidRPr="00F42593" w:rsidRDefault="00587D89" w:rsidP="00DF7880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F4259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74.6%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7D89" w:rsidRPr="00F42593" w:rsidRDefault="00587D89" w:rsidP="00DF7880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F4259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76.0%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7D89" w:rsidRPr="00F42593" w:rsidRDefault="00587D89" w:rsidP="00B466F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F4259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77.7%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7D89" w:rsidRPr="00F42593" w:rsidRDefault="007B25CF" w:rsidP="007B25CF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F4259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77.3%</w:t>
                  </w:r>
                </w:p>
              </w:tc>
            </w:tr>
            <w:tr w:rsidR="00587D89" w:rsidRPr="00AE7477" w:rsidTr="00F42593">
              <w:trPr>
                <w:trHeight w:val="59"/>
                <w:jc w:val="center"/>
              </w:trPr>
              <w:tc>
                <w:tcPr>
                  <w:tcW w:w="14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D89" w:rsidRPr="00F42593" w:rsidRDefault="00587D89" w:rsidP="00DF7880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22"/>
                      <w:lang w:eastAsia="en-GB"/>
                    </w:rPr>
                  </w:pPr>
                  <w:r w:rsidRPr="00F42593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22"/>
                      <w:lang w:eastAsia="en-GB"/>
                    </w:rPr>
                    <w:t>Ards and North Down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D89" w:rsidRPr="00F42593" w:rsidRDefault="00587D89" w:rsidP="00DF7880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F4259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69.8%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D89" w:rsidRPr="00F42593" w:rsidRDefault="00587D89" w:rsidP="00DF7880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F4259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66.4%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D89" w:rsidRPr="00F42593" w:rsidRDefault="00587D89" w:rsidP="00DF7880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F4259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69.5%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D89" w:rsidRPr="00F42593" w:rsidRDefault="00587D89" w:rsidP="00DF7880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F4259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68.8%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D89" w:rsidRPr="00F42593" w:rsidRDefault="00587D89" w:rsidP="00DF7880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F4259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69.8%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D89" w:rsidRPr="00F42593" w:rsidRDefault="00587D89" w:rsidP="00DF7880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F4259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73.8%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D89" w:rsidRPr="00F42593" w:rsidRDefault="00587D89" w:rsidP="00DF7880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F4259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74.3%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587D89" w:rsidRPr="00F42593" w:rsidRDefault="00587D89" w:rsidP="00DF7880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F4259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74.1%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7D89" w:rsidRPr="00F42593" w:rsidRDefault="00587D89" w:rsidP="00DF7880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F4259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76.0%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7D89" w:rsidRPr="00F42593" w:rsidRDefault="00587D89" w:rsidP="00B466F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F4259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72.9%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7D89" w:rsidRPr="00F42593" w:rsidRDefault="007B25CF" w:rsidP="007B25CF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F4259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73.1%</w:t>
                  </w:r>
                </w:p>
              </w:tc>
            </w:tr>
            <w:tr w:rsidR="00587D89" w:rsidRPr="00AE7477" w:rsidTr="00F42593">
              <w:trPr>
                <w:trHeight w:val="59"/>
                <w:jc w:val="center"/>
              </w:trPr>
              <w:tc>
                <w:tcPr>
                  <w:tcW w:w="14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D89" w:rsidRPr="00F42593" w:rsidRDefault="00587D89" w:rsidP="00DF7880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22"/>
                      <w:lang w:eastAsia="en-GB"/>
                    </w:rPr>
                  </w:pPr>
                  <w:r w:rsidRPr="00F42593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22"/>
                      <w:lang w:eastAsia="en-GB"/>
                    </w:rPr>
                    <w:t>Armagh City, Banbridge and Craigavon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D89" w:rsidRPr="00F42593" w:rsidRDefault="00587D89" w:rsidP="00DF7880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F4259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67.2%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D89" w:rsidRPr="00F42593" w:rsidRDefault="00587D89" w:rsidP="00DF7880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F4259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70.2%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D89" w:rsidRPr="00F42593" w:rsidRDefault="00587D89" w:rsidP="00DF7880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F4259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70.9%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D89" w:rsidRPr="00F42593" w:rsidRDefault="00587D89" w:rsidP="00DF7880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F4259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68.2%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D89" w:rsidRPr="00F42593" w:rsidRDefault="00587D89" w:rsidP="00DF7880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F4259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68.4%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D89" w:rsidRPr="00F42593" w:rsidRDefault="00587D89" w:rsidP="00DF7880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F4259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71.0%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D89" w:rsidRPr="00F42593" w:rsidRDefault="00587D89" w:rsidP="00DF7880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F4259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69.4%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587D89" w:rsidRPr="00F42593" w:rsidRDefault="00587D89" w:rsidP="00DF7880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F4259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70.8%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7D89" w:rsidRPr="00F42593" w:rsidRDefault="00587D89" w:rsidP="00DF7880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F4259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73.3%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7D89" w:rsidRPr="00F42593" w:rsidRDefault="00587D89" w:rsidP="00B466F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F4259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73.9%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7D89" w:rsidRPr="00F42593" w:rsidRDefault="007B25CF" w:rsidP="007B25CF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F4259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72.3%</w:t>
                  </w:r>
                </w:p>
              </w:tc>
            </w:tr>
            <w:tr w:rsidR="00587D89" w:rsidRPr="00AE7477" w:rsidTr="00F42593">
              <w:trPr>
                <w:trHeight w:val="59"/>
                <w:jc w:val="center"/>
              </w:trPr>
              <w:tc>
                <w:tcPr>
                  <w:tcW w:w="14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D89" w:rsidRPr="00F42593" w:rsidRDefault="00587D89" w:rsidP="00DF7880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22"/>
                      <w:lang w:eastAsia="en-GB"/>
                    </w:rPr>
                  </w:pPr>
                  <w:r w:rsidRPr="00F42593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22"/>
                      <w:lang w:eastAsia="en-GB"/>
                    </w:rPr>
                    <w:t>Belfast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D89" w:rsidRPr="00F42593" w:rsidRDefault="00587D89" w:rsidP="00DF7880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F4259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58.3%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D89" w:rsidRPr="00F42593" w:rsidRDefault="00587D89" w:rsidP="00DF7880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F4259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65.3%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D89" w:rsidRPr="00F42593" w:rsidRDefault="00587D89" w:rsidP="00DF7880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F4259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61.9%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D89" w:rsidRPr="00F42593" w:rsidRDefault="00587D89" w:rsidP="00DF7880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F4259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60.8%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D89" w:rsidRPr="00F42593" w:rsidRDefault="00587D89" w:rsidP="00DF7880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F4259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67.4%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D89" w:rsidRPr="00F42593" w:rsidRDefault="00587D89" w:rsidP="00DF7880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F4259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64.4%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D89" w:rsidRPr="00F42593" w:rsidRDefault="00587D89" w:rsidP="00DF7880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F4259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66.5%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587D89" w:rsidRPr="00F42593" w:rsidRDefault="00587D89" w:rsidP="00DF7880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F4259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69.1%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7D89" w:rsidRPr="00F42593" w:rsidRDefault="00587D89" w:rsidP="00DF7880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F4259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65.2%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7D89" w:rsidRPr="00F42593" w:rsidRDefault="00587D89" w:rsidP="00B466F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F4259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64.7%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7D89" w:rsidRPr="00F42593" w:rsidRDefault="007B25CF" w:rsidP="007B25CF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F4259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67.6%</w:t>
                  </w:r>
                </w:p>
              </w:tc>
            </w:tr>
            <w:tr w:rsidR="00587D89" w:rsidRPr="00AE7477" w:rsidTr="00F42593">
              <w:trPr>
                <w:trHeight w:val="59"/>
                <w:jc w:val="center"/>
              </w:trPr>
              <w:tc>
                <w:tcPr>
                  <w:tcW w:w="14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D89" w:rsidRPr="00F42593" w:rsidRDefault="00587D89" w:rsidP="00DF7880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22"/>
                      <w:lang w:eastAsia="en-GB"/>
                    </w:rPr>
                  </w:pPr>
                  <w:r w:rsidRPr="00F42593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22"/>
                      <w:lang w:eastAsia="en-GB"/>
                    </w:rPr>
                    <w:t>Causeway Coast and Glens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D89" w:rsidRPr="00F42593" w:rsidRDefault="00587D89" w:rsidP="00DF7880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F4259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61.6%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D89" w:rsidRPr="00F42593" w:rsidRDefault="00587D89" w:rsidP="00DF7880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F4259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64.5%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D89" w:rsidRPr="00F42593" w:rsidRDefault="00587D89" w:rsidP="00DF7880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F4259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65.6%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D89" w:rsidRPr="00F42593" w:rsidRDefault="00587D89" w:rsidP="00DF7880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F4259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62.1%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D89" w:rsidRPr="00F42593" w:rsidRDefault="00587D89" w:rsidP="00AD6125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F4259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59.6%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D89" w:rsidRPr="00F42593" w:rsidRDefault="00587D89" w:rsidP="00DF7880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F4259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66.0%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D89" w:rsidRPr="00F42593" w:rsidRDefault="00587D89" w:rsidP="00DF7880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F4259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62.4%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587D89" w:rsidRPr="00F42593" w:rsidRDefault="00587D89" w:rsidP="00DF7880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F4259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56.8%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7D89" w:rsidRPr="00F42593" w:rsidRDefault="00587D89" w:rsidP="00DF7880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F4259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61.1%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7D89" w:rsidRPr="00F42593" w:rsidRDefault="00587D89" w:rsidP="00B466F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F4259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66.8%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7D89" w:rsidRPr="00F42593" w:rsidRDefault="007B25CF" w:rsidP="007B25CF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F4259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67.6%</w:t>
                  </w:r>
                </w:p>
              </w:tc>
            </w:tr>
            <w:tr w:rsidR="00587D89" w:rsidRPr="00AE7477" w:rsidTr="00F42593">
              <w:trPr>
                <w:trHeight w:val="59"/>
                <w:jc w:val="center"/>
              </w:trPr>
              <w:tc>
                <w:tcPr>
                  <w:tcW w:w="14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D89" w:rsidRPr="00F42593" w:rsidRDefault="00587D89" w:rsidP="00DF7880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22"/>
                      <w:lang w:eastAsia="en-GB"/>
                    </w:rPr>
                  </w:pPr>
                  <w:r w:rsidRPr="00F42593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22"/>
                      <w:lang w:eastAsia="en-GB"/>
                    </w:rPr>
                    <w:t>Derry City and Strabane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D89" w:rsidRPr="00F42593" w:rsidRDefault="00587D89" w:rsidP="00DF7880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F4259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57.4%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D89" w:rsidRPr="00F42593" w:rsidRDefault="00587D89" w:rsidP="00DF7880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F4259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55.0%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D89" w:rsidRPr="00F42593" w:rsidRDefault="00587D89" w:rsidP="00DF7880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F4259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60.2%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D89" w:rsidRPr="00F42593" w:rsidRDefault="00587D89" w:rsidP="00DF7880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F4259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61.2%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D89" w:rsidRPr="00F42593" w:rsidRDefault="00587D89" w:rsidP="00DF7880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F4259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55.8%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D89" w:rsidRPr="00F42593" w:rsidRDefault="00587D89" w:rsidP="00DF7880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F4259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56.6%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D89" w:rsidRPr="00F42593" w:rsidRDefault="00587D89" w:rsidP="00DF7880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F4259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59.6%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587D89" w:rsidRPr="00F42593" w:rsidRDefault="00587D89" w:rsidP="00DF7880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F4259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54.8%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7D89" w:rsidRPr="00F42593" w:rsidRDefault="00587D89" w:rsidP="00DF7880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F4259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56.9%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7D89" w:rsidRPr="00F42593" w:rsidRDefault="00587D89" w:rsidP="00B466F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F4259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61.6%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7D89" w:rsidRPr="00F42593" w:rsidRDefault="007B25CF" w:rsidP="007B25CF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F4259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68.0%</w:t>
                  </w:r>
                </w:p>
              </w:tc>
            </w:tr>
            <w:tr w:rsidR="00587D89" w:rsidRPr="00AE7477" w:rsidTr="00F42593">
              <w:trPr>
                <w:trHeight w:val="59"/>
                <w:jc w:val="center"/>
              </w:trPr>
              <w:tc>
                <w:tcPr>
                  <w:tcW w:w="14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D89" w:rsidRPr="00F42593" w:rsidRDefault="00587D89" w:rsidP="00DF7880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22"/>
                      <w:lang w:eastAsia="en-GB"/>
                    </w:rPr>
                  </w:pPr>
                  <w:r w:rsidRPr="00F42593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22"/>
                      <w:lang w:eastAsia="en-GB"/>
                    </w:rPr>
                    <w:t>Fermanagh and Omagh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D89" w:rsidRPr="00F42593" w:rsidRDefault="00587D89" w:rsidP="00DF7880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F4259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64.8%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D89" w:rsidRPr="00F42593" w:rsidRDefault="00587D89" w:rsidP="00DF7880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F4259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62.6%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D89" w:rsidRPr="00F42593" w:rsidRDefault="00587D89" w:rsidP="00DF7880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F4259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63.3%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D89" w:rsidRPr="00F42593" w:rsidRDefault="00587D89" w:rsidP="00DF7880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F4259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67.2%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D89" w:rsidRPr="00F42593" w:rsidRDefault="00587D89" w:rsidP="00DF7880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F4259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64.0%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D89" w:rsidRPr="00F42593" w:rsidRDefault="00587D89" w:rsidP="00DF7880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F4259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64.3%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D89" w:rsidRPr="00F42593" w:rsidRDefault="00587D89" w:rsidP="00DF7880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F4259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73.8%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587D89" w:rsidRPr="00F42593" w:rsidRDefault="00587D89" w:rsidP="00DF7880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F4259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66.1%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7D89" w:rsidRPr="00F42593" w:rsidRDefault="00587D89" w:rsidP="00DF7880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F4259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67.6%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7D89" w:rsidRPr="00F42593" w:rsidRDefault="00587D89" w:rsidP="00B466F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F4259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68.8%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7D89" w:rsidRPr="00F42593" w:rsidRDefault="007B25CF" w:rsidP="007B25CF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F4259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65.0%</w:t>
                  </w:r>
                </w:p>
              </w:tc>
            </w:tr>
            <w:tr w:rsidR="00587D89" w:rsidRPr="00AE7477" w:rsidTr="00F42593">
              <w:trPr>
                <w:trHeight w:val="59"/>
                <w:jc w:val="center"/>
              </w:trPr>
              <w:tc>
                <w:tcPr>
                  <w:tcW w:w="14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D89" w:rsidRPr="00F42593" w:rsidRDefault="00587D89" w:rsidP="00DF7880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22"/>
                      <w:lang w:eastAsia="en-GB"/>
                    </w:rPr>
                  </w:pPr>
                  <w:r w:rsidRPr="00F42593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22"/>
                      <w:lang w:eastAsia="en-GB"/>
                    </w:rPr>
                    <w:t>Lisburn and Castlereagh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D89" w:rsidRPr="00F42593" w:rsidRDefault="00587D89" w:rsidP="00DF7880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F4259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69.3%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D89" w:rsidRPr="00F42593" w:rsidRDefault="00587D89" w:rsidP="00DF7880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F4259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72.0%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D89" w:rsidRPr="00F42593" w:rsidRDefault="00587D89" w:rsidP="00DF7880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F4259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76.5%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D89" w:rsidRPr="00F42593" w:rsidRDefault="00587D89" w:rsidP="00DF7880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F4259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73.8%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D89" w:rsidRPr="00F42593" w:rsidRDefault="00587D89" w:rsidP="00DF7880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F4259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71.2%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D89" w:rsidRPr="00F42593" w:rsidRDefault="00587D89" w:rsidP="00DF7880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F4259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70.4%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D89" w:rsidRPr="00F42593" w:rsidRDefault="00587D89" w:rsidP="00DF7880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F4259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72.2%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587D89" w:rsidRPr="00F42593" w:rsidRDefault="00587D89" w:rsidP="00DF7880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F4259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75.5%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7D89" w:rsidRPr="00F42593" w:rsidRDefault="00587D89" w:rsidP="00DF7880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F4259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76.0%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7D89" w:rsidRPr="00F42593" w:rsidRDefault="00587D89" w:rsidP="00B466F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F4259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76.8%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7D89" w:rsidRPr="00F42593" w:rsidRDefault="007B25CF" w:rsidP="007B25CF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F4259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81.1%</w:t>
                  </w:r>
                </w:p>
              </w:tc>
            </w:tr>
            <w:tr w:rsidR="00587D89" w:rsidRPr="00AE7477" w:rsidTr="00F42593">
              <w:trPr>
                <w:trHeight w:val="59"/>
                <w:jc w:val="center"/>
              </w:trPr>
              <w:tc>
                <w:tcPr>
                  <w:tcW w:w="14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D89" w:rsidRPr="00F42593" w:rsidRDefault="00587D89" w:rsidP="00DF7880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22"/>
                      <w:lang w:eastAsia="en-GB"/>
                    </w:rPr>
                  </w:pPr>
                  <w:r w:rsidRPr="00F42593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22"/>
                      <w:lang w:eastAsia="en-GB"/>
                    </w:rPr>
                    <w:t>Mid and East Antrim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D89" w:rsidRPr="00F42593" w:rsidRDefault="00587D89" w:rsidP="00DF7880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F4259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72.2%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D89" w:rsidRPr="00F42593" w:rsidRDefault="00587D89" w:rsidP="00DF7880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F4259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66.8%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D89" w:rsidRPr="00F42593" w:rsidRDefault="00587D89" w:rsidP="00DF7880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F4259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69.1%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D89" w:rsidRPr="00F42593" w:rsidRDefault="00587D89" w:rsidP="00DF7880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F4259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75.0%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D89" w:rsidRPr="00F42593" w:rsidRDefault="00587D89" w:rsidP="00DF7880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F4259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69.4%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D89" w:rsidRPr="00F42593" w:rsidRDefault="00587D89" w:rsidP="00DF7880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F4259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68.7%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D89" w:rsidRPr="00F42593" w:rsidRDefault="00587D89" w:rsidP="00DF7880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F4259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73.9%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587D89" w:rsidRPr="00F42593" w:rsidRDefault="00587D89" w:rsidP="00DF7880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F4259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73.8%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7D89" w:rsidRPr="00F42593" w:rsidRDefault="00587D89" w:rsidP="00DF7880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F4259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70.6%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7D89" w:rsidRPr="00F42593" w:rsidRDefault="00587D89" w:rsidP="00B466F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F4259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71.2%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7D89" w:rsidRPr="00F42593" w:rsidRDefault="007B25CF" w:rsidP="007B25CF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F4259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74.2%</w:t>
                  </w:r>
                </w:p>
              </w:tc>
            </w:tr>
            <w:tr w:rsidR="00587D89" w:rsidRPr="00AE7477" w:rsidTr="00F42593">
              <w:trPr>
                <w:trHeight w:val="59"/>
                <w:jc w:val="center"/>
              </w:trPr>
              <w:tc>
                <w:tcPr>
                  <w:tcW w:w="14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D89" w:rsidRPr="00F42593" w:rsidRDefault="00587D89" w:rsidP="00DF7880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22"/>
                      <w:lang w:eastAsia="en-GB"/>
                    </w:rPr>
                  </w:pPr>
                  <w:r w:rsidRPr="00F42593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22"/>
                      <w:lang w:eastAsia="en-GB"/>
                    </w:rPr>
                    <w:t>Mid Ulster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D89" w:rsidRPr="00F42593" w:rsidRDefault="00587D89" w:rsidP="00DF7880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F4259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68.9%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D89" w:rsidRPr="00F42593" w:rsidRDefault="00587D89" w:rsidP="00DF7880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F4259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63.6%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D89" w:rsidRPr="00F42593" w:rsidRDefault="00587D89" w:rsidP="00DF7880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F4259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65.2%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D89" w:rsidRPr="00F42593" w:rsidRDefault="00587D89" w:rsidP="00DF7880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F4259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68.8%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D89" w:rsidRPr="00F42593" w:rsidRDefault="00587D89" w:rsidP="00DF7880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F4259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70.6%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D89" w:rsidRPr="00F42593" w:rsidRDefault="00587D89" w:rsidP="00DF7880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F4259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69.4%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D89" w:rsidRPr="00F42593" w:rsidRDefault="00587D89" w:rsidP="00DF7880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F4259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68.7%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587D89" w:rsidRPr="00F42593" w:rsidRDefault="00587D89" w:rsidP="00AD6125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F4259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73.0%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7D89" w:rsidRPr="00F42593" w:rsidRDefault="00587D89" w:rsidP="00DF7880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F4259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74.8%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7D89" w:rsidRPr="00F42593" w:rsidRDefault="00587D89" w:rsidP="00B466F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F4259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74.2%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7D89" w:rsidRPr="00F42593" w:rsidRDefault="007B25CF" w:rsidP="007B25CF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F4259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75.3%</w:t>
                  </w:r>
                </w:p>
              </w:tc>
            </w:tr>
            <w:tr w:rsidR="00587D89" w:rsidRPr="00AE7477" w:rsidTr="00F42593">
              <w:trPr>
                <w:trHeight w:val="59"/>
                <w:jc w:val="center"/>
              </w:trPr>
              <w:tc>
                <w:tcPr>
                  <w:tcW w:w="14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D89" w:rsidRPr="00F42593" w:rsidRDefault="00587D89" w:rsidP="00DF7880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22"/>
                      <w:lang w:eastAsia="en-GB"/>
                    </w:rPr>
                  </w:pPr>
                  <w:r w:rsidRPr="00F42593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22"/>
                      <w:lang w:eastAsia="en-GB"/>
                    </w:rPr>
                    <w:t>Newry, Mourne and Down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D89" w:rsidRPr="00F42593" w:rsidRDefault="00587D89" w:rsidP="00DF7880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F4259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64.6%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D89" w:rsidRPr="00F42593" w:rsidRDefault="00587D89" w:rsidP="00DF7880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F4259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66.5%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D89" w:rsidRPr="00F42593" w:rsidRDefault="00587D89" w:rsidP="00DF7880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F4259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66.5%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D89" w:rsidRPr="00F42593" w:rsidRDefault="00587D89" w:rsidP="00DF7880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F4259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66.0%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D89" w:rsidRPr="00F42593" w:rsidRDefault="00587D89" w:rsidP="00DF7880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F4259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69.0%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D89" w:rsidRPr="00F42593" w:rsidRDefault="00587D89" w:rsidP="00DF7880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F4259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72.1%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D89" w:rsidRPr="00F42593" w:rsidRDefault="00587D89" w:rsidP="00DF7880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F4259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66.2%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587D89" w:rsidRPr="00F42593" w:rsidRDefault="00587D89" w:rsidP="00DF7880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F4259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72.6%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7D89" w:rsidRPr="00F42593" w:rsidRDefault="00587D89" w:rsidP="00DF7880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F4259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65.6%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7D89" w:rsidRPr="00F42593" w:rsidRDefault="00587D89" w:rsidP="00B466F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F4259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67.1%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7D89" w:rsidRPr="00F42593" w:rsidRDefault="007B25CF" w:rsidP="007B25CF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F4259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73.6%</w:t>
                  </w:r>
                </w:p>
              </w:tc>
            </w:tr>
            <w:tr w:rsidR="00587D89" w:rsidRPr="00AE7477" w:rsidTr="00F42593">
              <w:trPr>
                <w:trHeight w:val="94"/>
                <w:jc w:val="center"/>
              </w:trPr>
              <w:tc>
                <w:tcPr>
                  <w:tcW w:w="14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D89" w:rsidRPr="00F42593" w:rsidRDefault="00587D89" w:rsidP="00DF7880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22"/>
                      <w:lang w:eastAsia="en-GB"/>
                    </w:rPr>
                  </w:pPr>
                  <w:r w:rsidRPr="00F42593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22"/>
                      <w:lang w:eastAsia="en-GB"/>
                    </w:rPr>
                    <w:t>Total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D89" w:rsidRPr="00F42593" w:rsidRDefault="00587D89" w:rsidP="00DF7880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F4259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65.1%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D89" w:rsidRPr="00F42593" w:rsidRDefault="00587D89" w:rsidP="00DF7880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F4259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65.8%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D89" w:rsidRPr="00F42593" w:rsidRDefault="00587D89" w:rsidP="00DF7880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F4259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67.0%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D89" w:rsidRPr="00F42593" w:rsidRDefault="00587D89" w:rsidP="00DF7880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F4259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67.0%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D89" w:rsidRPr="00F42593" w:rsidRDefault="00587D89" w:rsidP="00DF7880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F4259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67.1%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D89" w:rsidRPr="00F42593" w:rsidRDefault="00587D89" w:rsidP="00DF7880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F4259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67.7%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D89" w:rsidRPr="00F42593" w:rsidRDefault="00587D89" w:rsidP="00DF7880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F4259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68.4%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587D89" w:rsidRPr="00F42593" w:rsidRDefault="00587D89" w:rsidP="00DF7880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F4259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69.4%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7D89" w:rsidRPr="00F42593" w:rsidRDefault="00587D89" w:rsidP="00DF7880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F4259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69.1%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7D89" w:rsidRPr="00F42593" w:rsidRDefault="00587D89" w:rsidP="00B466F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F4259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70.0%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7D89" w:rsidRPr="00F42593" w:rsidRDefault="007B25CF" w:rsidP="007B25CF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F4259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71.9%</w:t>
                  </w:r>
                </w:p>
              </w:tc>
            </w:tr>
          </w:tbl>
          <w:p w:rsidR="001B68A1" w:rsidRPr="00AE7477" w:rsidRDefault="001B68A1" w:rsidP="001B68A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32AF1" w:rsidRPr="00AE7477" w:rsidTr="00AE7477">
        <w:trPr>
          <w:trHeight w:val="680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532AF1" w:rsidRPr="00AE7477" w:rsidRDefault="00532AF1" w:rsidP="001E6913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AE7477">
              <w:rPr>
                <w:rFonts w:asciiTheme="minorHAnsi" w:hAnsiTheme="minorHAnsi"/>
                <w:b/>
                <w:sz w:val="22"/>
                <w:szCs w:val="22"/>
                <w:u w:val="single"/>
              </w:rPr>
              <w:t xml:space="preserve">For Survey Data </w:t>
            </w:r>
          </w:p>
          <w:p w:rsidR="00532AF1" w:rsidRPr="00AE7477" w:rsidRDefault="00532AF1" w:rsidP="001E691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E7477">
              <w:rPr>
                <w:rFonts w:asciiTheme="minorHAnsi" w:hAnsiTheme="minorHAnsi"/>
                <w:b/>
                <w:sz w:val="22"/>
                <w:szCs w:val="22"/>
              </w:rPr>
              <w:t>Sample size and confidence interval for the latest available year:</w:t>
            </w:r>
          </w:p>
        </w:tc>
        <w:tc>
          <w:tcPr>
            <w:tcW w:w="8760" w:type="dxa"/>
            <w:gridSpan w:val="2"/>
            <w:vAlign w:val="center"/>
          </w:tcPr>
          <w:tbl>
            <w:tblPr>
              <w:tblW w:w="85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56"/>
              <w:gridCol w:w="992"/>
              <w:gridCol w:w="709"/>
              <w:gridCol w:w="1417"/>
              <w:gridCol w:w="1560"/>
            </w:tblGrid>
            <w:tr w:rsidR="00703138" w:rsidRPr="00AE7477" w:rsidTr="00F42593">
              <w:trPr>
                <w:trHeight w:val="315"/>
              </w:trPr>
              <w:tc>
                <w:tcPr>
                  <w:tcW w:w="3856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:rsidR="00703138" w:rsidRPr="00F42593" w:rsidRDefault="00703138" w:rsidP="00703138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2"/>
                      <w:lang w:eastAsia="en-GB"/>
                    </w:rPr>
                  </w:pPr>
                  <w:r w:rsidRPr="00F42593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2"/>
                      <w:lang w:eastAsia="en-GB"/>
                    </w:rPr>
                    <w:t>Local Government District</w:t>
                  </w:r>
                </w:p>
              </w:tc>
              <w:tc>
                <w:tcPr>
                  <w:tcW w:w="992" w:type="dxa"/>
                  <w:vMerge w:val="restart"/>
                  <w:shd w:val="clear" w:color="auto" w:fill="auto"/>
                  <w:vAlign w:val="bottom"/>
                  <w:hideMark/>
                </w:tcPr>
                <w:p w:rsidR="00703138" w:rsidRPr="00F42593" w:rsidRDefault="00703138" w:rsidP="00703138">
                  <w:pPr>
                    <w:jc w:val="center"/>
                    <w:rPr>
                      <w:rFonts w:asciiTheme="minorHAnsi" w:hAnsiTheme="minorHAnsi"/>
                      <w:b/>
                      <w:bCs/>
                      <w:sz w:val="20"/>
                      <w:szCs w:val="22"/>
                      <w:lang w:eastAsia="en-GB"/>
                    </w:rPr>
                  </w:pPr>
                  <w:r w:rsidRPr="00F42593">
                    <w:rPr>
                      <w:rFonts w:asciiTheme="minorHAnsi" w:hAnsiTheme="minorHAnsi"/>
                      <w:b/>
                      <w:bCs/>
                      <w:sz w:val="20"/>
                      <w:szCs w:val="22"/>
                      <w:lang w:eastAsia="en-GB"/>
                    </w:rPr>
                    <w:t>Sample size</w:t>
                  </w:r>
                </w:p>
              </w:tc>
              <w:tc>
                <w:tcPr>
                  <w:tcW w:w="2126" w:type="dxa"/>
                  <w:gridSpan w:val="2"/>
                  <w:shd w:val="clear" w:color="auto" w:fill="auto"/>
                  <w:vAlign w:val="bottom"/>
                  <w:hideMark/>
                </w:tcPr>
                <w:p w:rsidR="00703138" w:rsidRPr="00F42593" w:rsidRDefault="00703138" w:rsidP="00703138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2"/>
                      <w:lang w:eastAsia="en-GB"/>
                    </w:rPr>
                  </w:pPr>
                  <w:r w:rsidRPr="00F42593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2"/>
                      <w:lang w:eastAsia="en-GB"/>
                    </w:rPr>
                    <w:t>Confidence Interval</w:t>
                  </w:r>
                </w:p>
              </w:tc>
              <w:tc>
                <w:tcPr>
                  <w:tcW w:w="1560" w:type="dxa"/>
                  <w:vMerge w:val="restart"/>
                  <w:shd w:val="clear" w:color="auto" w:fill="auto"/>
                  <w:vAlign w:val="bottom"/>
                  <w:hideMark/>
                </w:tcPr>
                <w:p w:rsidR="00703138" w:rsidRPr="00F42593" w:rsidRDefault="00B26EB6" w:rsidP="00703138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2"/>
                      <w:lang w:eastAsia="en-GB"/>
                    </w:rPr>
                  </w:pPr>
                  <w:r w:rsidRPr="00F42593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2"/>
                      <w:lang w:eastAsia="en-GB"/>
                    </w:rPr>
                    <w:t xml:space="preserve">Grossed </w:t>
                  </w:r>
                  <w:r w:rsidR="00587D89" w:rsidRPr="00F42593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2"/>
                      <w:lang w:eastAsia="en-GB"/>
                    </w:rPr>
                    <w:t>Figures for 2019</w:t>
                  </w:r>
                </w:p>
              </w:tc>
            </w:tr>
            <w:tr w:rsidR="00703138" w:rsidRPr="00AE7477" w:rsidTr="00F42593">
              <w:trPr>
                <w:trHeight w:val="315"/>
              </w:trPr>
              <w:tc>
                <w:tcPr>
                  <w:tcW w:w="3856" w:type="dxa"/>
                  <w:vMerge/>
                  <w:vAlign w:val="center"/>
                  <w:hideMark/>
                </w:tcPr>
                <w:p w:rsidR="00703138" w:rsidRPr="00F42593" w:rsidRDefault="00703138" w:rsidP="00703138">
                  <w:pPr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2"/>
                      <w:lang w:eastAsia="en-GB"/>
                    </w:rPr>
                  </w:pPr>
                </w:p>
              </w:tc>
              <w:tc>
                <w:tcPr>
                  <w:tcW w:w="992" w:type="dxa"/>
                  <w:vMerge/>
                  <w:shd w:val="clear" w:color="auto" w:fill="auto"/>
                  <w:vAlign w:val="center"/>
                  <w:hideMark/>
                </w:tcPr>
                <w:p w:rsidR="00703138" w:rsidRPr="00F42593" w:rsidRDefault="00703138" w:rsidP="00703138">
                  <w:pPr>
                    <w:rPr>
                      <w:rFonts w:asciiTheme="minorHAnsi" w:hAnsiTheme="minorHAnsi"/>
                      <w:b/>
                      <w:bCs/>
                      <w:sz w:val="20"/>
                      <w:szCs w:val="22"/>
                      <w:lang w:eastAsia="en-GB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bottom"/>
                  <w:hideMark/>
                </w:tcPr>
                <w:p w:rsidR="00703138" w:rsidRPr="00F42593" w:rsidRDefault="00703138" w:rsidP="00703138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2"/>
                      <w:lang w:eastAsia="en-GB"/>
                    </w:rPr>
                  </w:pPr>
                  <w:r w:rsidRPr="00F42593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2"/>
                      <w:lang w:eastAsia="en-GB"/>
                    </w:rPr>
                    <w:t>(pps)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:rsidR="00703138" w:rsidRPr="00F42593" w:rsidRDefault="00703138" w:rsidP="00703138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2"/>
                      <w:lang w:eastAsia="en-GB"/>
                    </w:rPr>
                  </w:pPr>
                  <w:r w:rsidRPr="00F42593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2"/>
                      <w:lang w:eastAsia="en-GB"/>
                    </w:rPr>
                    <w:t>Number</w:t>
                  </w:r>
                </w:p>
              </w:tc>
              <w:tc>
                <w:tcPr>
                  <w:tcW w:w="1560" w:type="dxa"/>
                  <w:vMerge/>
                  <w:vAlign w:val="center"/>
                  <w:hideMark/>
                </w:tcPr>
                <w:p w:rsidR="00703138" w:rsidRPr="00F42593" w:rsidRDefault="00703138" w:rsidP="00703138">
                  <w:pPr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2"/>
                      <w:lang w:eastAsia="en-GB"/>
                    </w:rPr>
                  </w:pPr>
                </w:p>
              </w:tc>
            </w:tr>
            <w:tr w:rsidR="00887B0D" w:rsidRPr="00AE7477" w:rsidTr="00F42593">
              <w:trPr>
                <w:trHeight w:val="315"/>
              </w:trPr>
              <w:tc>
                <w:tcPr>
                  <w:tcW w:w="3856" w:type="dxa"/>
                  <w:shd w:val="clear" w:color="auto" w:fill="auto"/>
                  <w:noWrap/>
                  <w:vAlign w:val="bottom"/>
                  <w:hideMark/>
                </w:tcPr>
                <w:p w:rsidR="00887B0D" w:rsidRPr="00F42593" w:rsidRDefault="00887B0D" w:rsidP="00887B0D">
                  <w:pPr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2"/>
                      <w:lang w:eastAsia="en-GB"/>
                    </w:rPr>
                  </w:pPr>
                  <w:r w:rsidRPr="00F42593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2"/>
                      <w:lang w:eastAsia="en-GB"/>
                    </w:rPr>
                    <w:t>Antrim and Newtownabbey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</w:tcPr>
                <w:p w:rsidR="00887B0D" w:rsidRPr="00F42593" w:rsidRDefault="007B25CF" w:rsidP="007B25CF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2"/>
                      <w:lang w:eastAsia="en-GB"/>
                    </w:rPr>
                  </w:pPr>
                  <w:r w:rsidRPr="00F42593">
                    <w:rPr>
                      <w:rFonts w:asciiTheme="minorHAnsi" w:hAnsiTheme="minorHAnsi" w:cstheme="minorHAnsi"/>
                      <w:sz w:val="20"/>
                      <w:szCs w:val="22"/>
                      <w:lang w:eastAsia="en-GB"/>
                    </w:rPr>
                    <w:t>417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center"/>
                  <w:hideMark/>
                </w:tcPr>
                <w:p w:rsidR="007B25CF" w:rsidRPr="00F42593" w:rsidRDefault="007B25CF" w:rsidP="007B25CF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2"/>
                    </w:rPr>
                  </w:pPr>
                  <w:r w:rsidRPr="00F42593">
                    <w:rPr>
                      <w:rFonts w:asciiTheme="minorHAnsi" w:hAnsiTheme="minorHAnsi" w:cstheme="minorHAnsi"/>
                      <w:color w:val="000000"/>
                      <w:sz w:val="20"/>
                      <w:szCs w:val="22"/>
                    </w:rPr>
                    <w:t>4.0%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887B0D" w:rsidRPr="00F42593" w:rsidRDefault="00C07358" w:rsidP="00C07358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2"/>
                    </w:rPr>
                  </w:pPr>
                  <w:r w:rsidRPr="00F42593">
                    <w:rPr>
                      <w:rFonts w:asciiTheme="minorHAnsi" w:hAnsiTheme="minorHAnsi" w:cstheme="minorHAnsi"/>
                      <w:color w:val="000000"/>
                      <w:sz w:val="20"/>
                      <w:szCs w:val="22"/>
                    </w:rPr>
                    <w:t>+/-4,000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</w:tcPr>
                <w:p w:rsidR="00887B0D" w:rsidRPr="00F42593" w:rsidRDefault="007B25CF" w:rsidP="00B466F3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2"/>
                    </w:rPr>
                  </w:pPr>
                  <w:r w:rsidRPr="00F42593">
                    <w:rPr>
                      <w:rFonts w:asciiTheme="minorHAnsi" w:hAnsiTheme="minorHAnsi" w:cstheme="minorHAnsi"/>
                      <w:color w:val="000000"/>
                      <w:sz w:val="20"/>
                      <w:szCs w:val="22"/>
                    </w:rPr>
                    <w:t>71</w:t>
                  </w:r>
                  <w:r w:rsidR="00C07358" w:rsidRPr="00F42593">
                    <w:rPr>
                      <w:rFonts w:asciiTheme="minorHAnsi" w:hAnsiTheme="minorHAnsi" w:cstheme="minorHAnsi"/>
                      <w:color w:val="000000"/>
                      <w:sz w:val="20"/>
                      <w:szCs w:val="22"/>
                    </w:rPr>
                    <w:t>,000</w:t>
                  </w:r>
                </w:p>
              </w:tc>
            </w:tr>
            <w:tr w:rsidR="00B466F3" w:rsidRPr="00AE7477" w:rsidTr="00F42593">
              <w:trPr>
                <w:trHeight w:val="315"/>
              </w:trPr>
              <w:tc>
                <w:tcPr>
                  <w:tcW w:w="3856" w:type="dxa"/>
                  <w:shd w:val="clear" w:color="auto" w:fill="auto"/>
                  <w:noWrap/>
                  <w:vAlign w:val="bottom"/>
                  <w:hideMark/>
                </w:tcPr>
                <w:p w:rsidR="00B466F3" w:rsidRPr="00F42593" w:rsidRDefault="00B466F3" w:rsidP="00B466F3">
                  <w:pPr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2"/>
                      <w:lang w:eastAsia="en-GB"/>
                    </w:rPr>
                  </w:pPr>
                  <w:r w:rsidRPr="00F42593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2"/>
                      <w:lang w:eastAsia="en-GB"/>
                    </w:rPr>
                    <w:t>Ards and North Down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</w:tcPr>
                <w:p w:rsidR="00B466F3" w:rsidRPr="00F42593" w:rsidRDefault="007B25CF" w:rsidP="007B25CF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2"/>
                    </w:rPr>
                  </w:pPr>
                  <w:r w:rsidRPr="00F42593">
                    <w:rPr>
                      <w:rFonts w:asciiTheme="minorHAnsi" w:hAnsiTheme="minorHAnsi" w:cstheme="minorHAnsi"/>
                      <w:sz w:val="20"/>
                      <w:szCs w:val="22"/>
                    </w:rPr>
                    <w:t>585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center"/>
                  <w:hideMark/>
                </w:tcPr>
                <w:p w:rsidR="00B466F3" w:rsidRPr="00F42593" w:rsidRDefault="007B25CF" w:rsidP="007B25CF">
                  <w:pPr>
                    <w:jc w:val="center"/>
                    <w:rPr>
                      <w:sz w:val="20"/>
                      <w:szCs w:val="22"/>
                    </w:rPr>
                  </w:pPr>
                  <w:r w:rsidRPr="00F42593">
                    <w:rPr>
                      <w:rFonts w:asciiTheme="minorHAnsi" w:hAnsiTheme="minorHAnsi" w:cstheme="minorHAnsi"/>
                      <w:color w:val="000000"/>
                      <w:sz w:val="20"/>
                      <w:szCs w:val="22"/>
                    </w:rPr>
                    <w:t>3.6%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B466F3" w:rsidRPr="00F42593" w:rsidRDefault="00C07358" w:rsidP="00B466F3">
                  <w:pPr>
                    <w:jc w:val="center"/>
                    <w:rPr>
                      <w:sz w:val="20"/>
                      <w:szCs w:val="22"/>
                    </w:rPr>
                  </w:pPr>
                  <w:r w:rsidRPr="00F42593">
                    <w:rPr>
                      <w:rFonts w:asciiTheme="minorHAnsi" w:hAnsiTheme="minorHAnsi" w:cstheme="minorHAnsi"/>
                      <w:color w:val="000000"/>
                      <w:sz w:val="20"/>
                      <w:szCs w:val="22"/>
                    </w:rPr>
                    <w:t>+/-4,000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</w:tcPr>
                <w:p w:rsidR="00B466F3" w:rsidRPr="00F42593" w:rsidRDefault="00C07358" w:rsidP="00B466F3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2"/>
                    </w:rPr>
                  </w:pPr>
                  <w:r w:rsidRPr="00F42593">
                    <w:rPr>
                      <w:rFonts w:asciiTheme="minorHAnsi" w:hAnsiTheme="minorHAnsi" w:cstheme="minorHAnsi"/>
                      <w:sz w:val="20"/>
                      <w:szCs w:val="22"/>
                    </w:rPr>
                    <w:t>72,000</w:t>
                  </w:r>
                </w:p>
              </w:tc>
            </w:tr>
            <w:tr w:rsidR="00B466F3" w:rsidRPr="00AE7477" w:rsidTr="00F42593">
              <w:trPr>
                <w:trHeight w:val="315"/>
              </w:trPr>
              <w:tc>
                <w:tcPr>
                  <w:tcW w:w="3856" w:type="dxa"/>
                  <w:shd w:val="clear" w:color="auto" w:fill="auto"/>
                  <w:noWrap/>
                  <w:vAlign w:val="bottom"/>
                  <w:hideMark/>
                </w:tcPr>
                <w:p w:rsidR="00B466F3" w:rsidRPr="00F42593" w:rsidRDefault="00B466F3" w:rsidP="00B466F3">
                  <w:pPr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2"/>
                      <w:lang w:eastAsia="en-GB"/>
                    </w:rPr>
                  </w:pPr>
                  <w:r w:rsidRPr="00F42593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2"/>
                      <w:lang w:eastAsia="en-GB"/>
                    </w:rPr>
                    <w:t>Armagh City, Banbridge and Craigavon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</w:tcPr>
                <w:p w:rsidR="00B466F3" w:rsidRPr="00F42593" w:rsidRDefault="007B25CF" w:rsidP="007B25CF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2"/>
                    </w:rPr>
                  </w:pPr>
                  <w:r w:rsidRPr="00F42593">
                    <w:rPr>
                      <w:rFonts w:asciiTheme="minorHAnsi" w:hAnsiTheme="minorHAnsi" w:cstheme="minorHAnsi"/>
                      <w:sz w:val="20"/>
                      <w:szCs w:val="22"/>
                    </w:rPr>
                    <w:t>729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center"/>
                  <w:hideMark/>
                </w:tcPr>
                <w:p w:rsidR="00B466F3" w:rsidRPr="00F42593" w:rsidRDefault="007B25CF" w:rsidP="007B25CF">
                  <w:pPr>
                    <w:jc w:val="center"/>
                    <w:rPr>
                      <w:sz w:val="20"/>
                      <w:szCs w:val="22"/>
                    </w:rPr>
                  </w:pPr>
                  <w:r w:rsidRPr="00F42593">
                    <w:rPr>
                      <w:rFonts w:asciiTheme="minorHAnsi" w:hAnsiTheme="minorHAnsi" w:cstheme="minorHAnsi"/>
                      <w:color w:val="000000"/>
                      <w:sz w:val="20"/>
                      <w:szCs w:val="22"/>
                    </w:rPr>
                    <w:t>3.2%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B466F3" w:rsidRPr="00F42593" w:rsidRDefault="007B25CF" w:rsidP="00B466F3">
                  <w:pPr>
                    <w:jc w:val="center"/>
                    <w:rPr>
                      <w:sz w:val="20"/>
                      <w:szCs w:val="22"/>
                    </w:rPr>
                  </w:pPr>
                  <w:r w:rsidRPr="00F42593">
                    <w:rPr>
                      <w:rFonts w:asciiTheme="minorHAnsi" w:hAnsiTheme="minorHAnsi" w:cstheme="minorHAnsi"/>
                      <w:color w:val="000000"/>
                      <w:sz w:val="20"/>
                      <w:szCs w:val="22"/>
                    </w:rPr>
                    <w:t>+/-4</w:t>
                  </w:r>
                  <w:r w:rsidR="00C07358" w:rsidRPr="00F42593">
                    <w:rPr>
                      <w:rFonts w:asciiTheme="minorHAnsi" w:hAnsiTheme="minorHAnsi" w:cstheme="minorHAnsi"/>
                      <w:color w:val="000000"/>
                      <w:sz w:val="20"/>
                      <w:szCs w:val="22"/>
                    </w:rPr>
                    <w:t>,000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</w:tcPr>
                <w:p w:rsidR="00B466F3" w:rsidRPr="00F42593" w:rsidRDefault="007B25CF" w:rsidP="007B25CF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2"/>
                    </w:rPr>
                  </w:pPr>
                  <w:r w:rsidRPr="00F42593">
                    <w:rPr>
                      <w:rFonts w:asciiTheme="minorHAnsi" w:hAnsiTheme="minorHAnsi" w:cstheme="minorHAnsi"/>
                      <w:sz w:val="20"/>
                      <w:szCs w:val="22"/>
                    </w:rPr>
                    <w:t>96</w:t>
                  </w:r>
                  <w:r w:rsidR="00C07358" w:rsidRPr="00F42593">
                    <w:rPr>
                      <w:rFonts w:asciiTheme="minorHAnsi" w:hAnsiTheme="minorHAnsi" w:cstheme="minorHAnsi"/>
                      <w:sz w:val="20"/>
                      <w:szCs w:val="22"/>
                    </w:rPr>
                    <w:t>,000</w:t>
                  </w:r>
                </w:p>
              </w:tc>
            </w:tr>
            <w:tr w:rsidR="00B466F3" w:rsidRPr="00AE7477" w:rsidTr="00F42593">
              <w:trPr>
                <w:trHeight w:val="315"/>
              </w:trPr>
              <w:tc>
                <w:tcPr>
                  <w:tcW w:w="3856" w:type="dxa"/>
                  <w:shd w:val="clear" w:color="auto" w:fill="auto"/>
                  <w:noWrap/>
                  <w:vAlign w:val="bottom"/>
                  <w:hideMark/>
                </w:tcPr>
                <w:p w:rsidR="00B466F3" w:rsidRPr="00F42593" w:rsidRDefault="00B466F3" w:rsidP="00B466F3">
                  <w:pPr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2"/>
                      <w:lang w:eastAsia="en-GB"/>
                    </w:rPr>
                  </w:pPr>
                  <w:r w:rsidRPr="00F42593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2"/>
                      <w:lang w:eastAsia="en-GB"/>
                    </w:rPr>
                    <w:t>Belfast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</w:tcPr>
                <w:p w:rsidR="00B466F3" w:rsidRPr="00F42593" w:rsidRDefault="007B25CF" w:rsidP="007B25CF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2"/>
                    </w:rPr>
                  </w:pPr>
                  <w:r w:rsidRPr="00F42593">
                    <w:rPr>
                      <w:rFonts w:asciiTheme="minorHAnsi" w:hAnsiTheme="minorHAnsi" w:cstheme="minorHAnsi"/>
                      <w:sz w:val="20"/>
                      <w:szCs w:val="22"/>
                    </w:rPr>
                    <w:t>1</w:t>
                  </w:r>
                  <w:r w:rsidR="00AE7477" w:rsidRPr="00F42593">
                    <w:rPr>
                      <w:rFonts w:asciiTheme="minorHAnsi" w:hAnsiTheme="minorHAnsi" w:cstheme="minorHAnsi"/>
                      <w:sz w:val="20"/>
                      <w:szCs w:val="22"/>
                    </w:rPr>
                    <w:t>,</w:t>
                  </w:r>
                  <w:r w:rsidRPr="00F42593">
                    <w:rPr>
                      <w:rFonts w:asciiTheme="minorHAnsi" w:hAnsiTheme="minorHAnsi" w:cstheme="minorHAnsi"/>
                      <w:sz w:val="20"/>
                      <w:szCs w:val="22"/>
                    </w:rPr>
                    <w:t>172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center"/>
                  <w:hideMark/>
                </w:tcPr>
                <w:p w:rsidR="00B466F3" w:rsidRPr="00F42593" w:rsidRDefault="007B25CF" w:rsidP="007B25CF">
                  <w:pPr>
                    <w:jc w:val="center"/>
                    <w:rPr>
                      <w:sz w:val="20"/>
                      <w:szCs w:val="22"/>
                    </w:rPr>
                  </w:pPr>
                  <w:r w:rsidRPr="00F42593">
                    <w:rPr>
                      <w:rFonts w:asciiTheme="minorHAnsi" w:hAnsiTheme="minorHAnsi" w:cstheme="minorHAnsi"/>
                      <w:color w:val="000000"/>
                      <w:sz w:val="20"/>
                      <w:szCs w:val="22"/>
                    </w:rPr>
                    <w:t>2.7%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B466F3" w:rsidRPr="00F42593" w:rsidRDefault="007B25CF" w:rsidP="00B466F3">
                  <w:pPr>
                    <w:jc w:val="center"/>
                    <w:rPr>
                      <w:sz w:val="20"/>
                      <w:szCs w:val="22"/>
                    </w:rPr>
                  </w:pPr>
                  <w:r w:rsidRPr="00F42593">
                    <w:rPr>
                      <w:rFonts w:asciiTheme="minorHAnsi" w:hAnsiTheme="minorHAnsi" w:cstheme="minorHAnsi"/>
                      <w:color w:val="000000"/>
                      <w:sz w:val="20"/>
                      <w:szCs w:val="22"/>
                    </w:rPr>
                    <w:t>+/-6</w:t>
                  </w:r>
                  <w:r w:rsidR="00C07358" w:rsidRPr="00F42593">
                    <w:rPr>
                      <w:rFonts w:asciiTheme="minorHAnsi" w:hAnsiTheme="minorHAnsi" w:cstheme="minorHAnsi"/>
                      <w:color w:val="000000"/>
                      <w:sz w:val="20"/>
                      <w:szCs w:val="22"/>
                    </w:rPr>
                    <w:t>,000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</w:tcPr>
                <w:p w:rsidR="00B466F3" w:rsidRPr="00F42593" w:rsidRDefault="007B25CF" w:rsidP="00B466F3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2"/>
                    </w:rPr>
                  </w:pPr>
                  <w:r w:rsidRPr="00F42593">
                    <w:rPr>
                      <w:rFonts w:asciiTheme="minorHAnsi" w:hAnsiTheme="minorHAnsi" w:cstheme="minorHAnsi"/>
                      <w:sz w:val="20"/>
                      <w:szCs w:val="22"/>
                    </w:rPr>
                    <w:t>148</w:t>
                  </w:r>
                  <w:r w:rsidR="00C07358" w:rsidRPr="00F42593">
                    <w:rPr>
                      <w:rFonts w:asciiTheme="minorHAnsi" w:hAnsiTheme="minorHAnsi" w:cstheme="minorHAnsi"/>
                      <w:sz w:val="20"/>
                      <w:szCs w:val="22"/>
                    </w:rPr>
                    <w:t>,000</w:t>
                  </w:r>
                </w:p>
              </w:tc>
            </w:tr>
            <w:tr w:rsidR="00B466F3" w:rsidRPr="00AE7477" w:rsidTr="00F42593">
              <w:trPr>
                <w:trHeight w:val="315"/>
              </w:trPr>
              <w:tc>
                <w:tcPr>
                  <w:tcW w:w="3856" w:type="dxa"/>
                  <w:shd w:val="clear" w:color="auto" w:fill="auto"/>
                  <w:noWrap/>
                  <w:vAlign w:val="bottom"/>
                  <w:hideMark/>
                </w:tcPr>
                <w:p w:rsidR="00B466F3" w:rsidRPr="00F42593" w:rsidRDefault="00B466F3" w:rsidP="00B466F3">
                  <w:pPr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2"/>
                      <w:lang w:eastAsia="en-GB"/>
                    </w:rPr>
                  </w:pPr>
                  <w:r w:rsidRPr="00F42593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2"/>
                      <w:lang w:eastAsia="en-GB"/>
                    </w:rPr>
                    <w:t>Causeway Coast and Glens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</w:tcPr>
                <w:p w:rsidR="00B466F3" w:rsidRPr="00F42593" w:rsidRDefault="007B25CF" w:rsidP="007B25CF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2"/>
                    </w:rPr>
                  </w:pPr>
                  <w:r w:rsidRPr="00F42593">
                    <w:rPr>
                      <w:rFonts w:asciiTheme="minorHAnsi" w:hAnsiTheme="minorHAnsi" w:cstheme="minorHAnsi"/>
                      <w:sz w:val="20"/>
                      <w:szCs w:val="22"/>
                    </w:rPr>
                    <w:t>500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center"/>
                  <w:hideMark/>
                </w:tcPr>
                <w:p w:rsidR="00B466F3" w:rsidRPr="00F42593" w:rsidRDefault="007B25CF" w:rsidP="007B25CF">
                  <w:pPr>
                    <w:jc w:val="center"/>
                    <w:rPr>
                      <w:sz w:val="20"/>
                      <w:szCs w:val="22"/>
                    </w:rPr>
                  </w:pPr>
                  <w:r w:rsidRPr="00F42593">
                    <w:rPr>
                      <w:rFonts w:asciiTheme="minorHAnsi" w:hAnsiTheme="minorHAnsi" w:cstheme="minorHAnsi"/>
                      <w:color w:val="000000"/>
                      <w:sz w:val="20"/>
                      <w:szCs w:val="22"/>
                    </w:rPr>
                    <w:t>4.1%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B466F3" w:rsidRPr="00F42593" w:rsidRDefault="007B25CF" w:rsidP="00B466F3">
                  <w:pPr>
                    <w:jc w:val="center"/>
                    <w:rPr>
                      <w:sz w:val="20"/>
                      <w:szCs w:val="22"/>
                    </w:rPr>
                  </w:pPr>
                  <w:r w:rsidRPr="00F42593">
                    <w:rPr>
                      <w:rFonts w:asciiTheme="minorHAnsi" w:hAnsiTheme="minorHAnsi" w:cstheme="minorHAnsi"/>
                      <w:color w:val="000000"/>
                      <w:sz w:val="20"/>
                      <w:szCs w:val="22"/>
                    </w:rPr>
                    <w:t>+/-3</w:t>
                  </w:r>
                  <w:r w:rsidR="00C07358" w:rsidRPr="00F42593">
                    <w:rPr>
                      <w:rFonts w:asciiTheme="minorHAnsi" w:hAnsiTheme="minorHAnsi" w:cstheme="minorHAnsi"/>
                      <w:color w:val="000000"/>
                      <w:sz w:val="20"/>
                      <w:szCs w:val="22"/>
                    </w:rPr>
                    <w:t>,000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</w:tcPr>
                <w:p w:rsidR="00B466F3" w:rsidRPr="00F42593" w:rsidRDefault="003F3DAC" w:rsidP="00B466F3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2"/>
                    </w:rPr>
                  </w:pPr>
                  <w:r w:rsidRPr="00F42593">
                    <w:rPr>
                      <w:rFonts w:asciiTheme="minorHAnsi" w:hAnsiTheme="minorHAnsi" w:cstheme="minorHAnsi"/>
                      <w:sz w:val="20"/>
                      <w:szCs w:val="22"/>
                    </w:rPr>
                    <w:t>55</w:t>
                  </w:r>
                  <w:r w:rsidR="00C07358" w:rsidRPr="00F42593">
                    <w:rPr>
                      <w:rFonts w:asciiTheme="minorHAnsi" w:hAnsiTheme="minorHAnsi" w:cstheme="minorHAnsi"/>
                      <w:sz w:val="20"/>
                      <w:szCs w:val="22"/>
                    </w:rPr>
                    <w:t>,000</w:t>
                  </w:r>
                </w:p>
              </w:tc>
            </w:tr>
            <w:tr w:rsidR="00B466F3" w:rsidRPr="00AE7477" w:rsidTr="00F42593">
              <w:trPr>
                <w:trHeight w:val="315"/>
              </w:trPr>
              <w:tc>
                <w:tcPr>
                  <w:tcW w:w="3856" w:type="dxa"/>
                  <w:shd w:val="clear" w:color="auto" w:fill="auto"/>
                  <w:noWrap/>
                  <w:vAlign w:val="bottom"/>
                  <w:hideMark/>
                </w:tcPr>
                <w:p w:rsidR="00B466F3" w:rsidRPr="00F42593" w:rsidRDefault="00B466F3" w:rsidP="00B466F3">
                  <w:pPr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2"/>
                      <w:lang w:eastAsia="en-GB"/>
                    </w:rPr>
                  </w:pPr>
                  <w:r w:rsidRPr="00F42593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2"/>
                      <w:lang w:eastAsia="en-GB"/>
                    </w:rPr>
                    <w:t>Derry City and Strabane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</w:tcPr>
                <w:p w:rsidR="00B466F3" w:rsidRPr="00F42593" w:rsidRDefault="007B25CF" w:rsidP="007B25CF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2"/>
                    </w:rPr>
                  </w:pPr>
                  <w:r w:rsidRPr="00F42593">
                    <w:rPr>
                      <w:rFonts w:asciiTheme="minorHAnsi" w:hAnsiTheme="minorHAnsi" w:cstheme="minorHAnsi"/>
                      <w:sz w:val="20"/>
                      <w:szCs w:val="22"/>
                    </w:rPr>
                    <w:t>592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center"/>
                  <w:hideMark/>
                </w:tcPr>
                <w:p w:rsidR="00B466F3" w:rsidRPr="00F42593" w:rsidRDefault="007B25CF" w:rsidP="007B25CF">
                  <w:pPr>
                    <w:jc w:val="center"/>
                    <w:rPr>
                      <w:sz w:val="20"/>
                      <w:szCs w:val="22"/>
                    </w:rPr>
                  </w:pPr>
                  <w:r w:rsidRPr="00F42593">
                    <w:rPr>
                      <w:rFonts w:asciiTheme="minorHAnsi" w:hAnsiTheme="minorHAnsi" w:cstheme="minorHAnsi"/>
                      <w:color w:val="000000"/>
                      <w:sz w:val="20"/>
                      <w:szCs w:val="22"/>
                    </w:rPr>
                    <w:t>3.8%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B466F3" w:rsidRPr="00F42593" w:rsidRDefault="00C07358" w:rsidP="00B466F3">
                  <w:pPr>
                    <w:jc w:val="center"/>
                    <w:rPr>
                      <w:sz w:val="20"/>
                      <w:szCs w:val="22"/>
                    </w:rPr>
                  </w:pPr>
                  <w:r w:rsidRPr="00F42593">
                    <w:rPr>
                      <w:rFonts w:asciiTheme="minorHAnsi" w:hAnsiTheme="minorHAnsi" w:cstheme="minorHAnsi"/>
                      <w:color w:val="000000"/>
                      <w:sz w:val="20"/>
                      <w:szCs w:val="22"/>
                    </w:rPr>
                    <w:t>+/-4,000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</w:tcPr>
                <w:p w:rsidR="00B466F3" w:rsidRPr="00F42593" w:rsidRDefault="003F3DAC" w:rsidP="003F3DAC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2"/>
                    </w:rPr>
                  </w:pPr>
                  <w:r w:rsidRPr="00F42593">
                    <w:rPr>
                      <w:rFonts w:asciiTheme="minorHAnsi" w:hAnsiTheme="minorHAnsi" w:cstheme="minorHAnsi"/>
                      <w:sz w:val="20"/>
                      <w:szCs w:val="22"/>
                    </w:rPr>
                    <w:t>65</w:t>
                  </w:r>
                  <w:r w:rsidR="00C07358" w:rsidRPr="00F42593">
                    <w:rPr>
                      <w:rFonts w:asciiTheme="minorHAnsi" w:hAnsiTheme="minorHAnsi" w:cstheme="minorHAnsi"/>
                      <w:sz w:val="20"/>
                      <w:szCs w:val="22"/>
                    </w:rPr>
                    <w:t>,000</w:t>
                  </w:r>
                </w:p>
              </w:tc>
            </w:tr>
            <w:tr w:rsidR="00B466F3" w:rsidRPr="00AE7477" w:rsidTr="00F42593">
              <w:trPr>
                <w:trHeight w:val="315"/>
              </w:trPr>
              <w:tc>
                <w:tcPr>
                  <w:tcW w:w="3856" w:type="dxa"/>
                  <w:shd w:val="clear" w:color="auto" w:fill="auto"/>
                  <w:noWrap/>
                  <w:vAlign w:val="bottom"/>
                  <w:hideMark/>
                </w:tcPr>
                <w:p w:rsidR="00B466F3" w:rsidRPr="00F42593" w:rsidRDefault="00B466F3" w:rsidP="00B466F3">
                  <w:pPr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2"/>
                      <w:lang w:eastAsia="en-GB"/>
                    </w:rPr>
                  </w:pPr>
                  <w:r w:rsidRPr="00F42593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2"/>
                      <w:lang w:eastAsia="en-GB"/>
                    </w:rPr>
                    <w:t>Fermanagh and Omagh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</w:tcPr>
                <w:p w:rsidR="00B466F3" w:rsidRPr="00F42593" w:rsidRDefault="007B25CF" w:rsidP="007B25CF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2"/>
                    </w:rPr>
                  </w:pPr>
                  <w:r w:rsidRPr="00F42593">
                    <w:rPr>
                      <w:rFonts w:asciiTheme="minorHAnsi" w:hAnsiTheme="minorHAnsi" w:cstheme="minorHAnsi"/>
                      <w:sz w:val="20"/>
                      <w:szCs w:val="22"/>
                    </w:rPr>
                    <w:t>430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center"/>
                  <w:hideMark/>
                </w:tcPr>
                <w:p w:rsidR="00B466F3" w:rsidRPr="00F42593" w:rsidRDefault="007B25CF" w:rsidP="007B25CF">
                  <w:pPr>
                    <w:jc w:val="center"/>
                    <w:rPr>
                      <w:sz w:val="20"/>
                      <w:szCs w:val="22"/>
                    </w:rPr>
                  </w:pPr>
                  <w:r w:rsidRPr="00F42593">
                    <w:rPr>
                      <w:rFonts w:asciiTheme="minorHAnsi" w:hAnsiTheme="minorHAnsi" w:cstheme="minorHAnsi"/>
                      <w:color w:val="000000"/>
                      <w:sz w:val="20"/>
                      <w:szCs w:val="22"/>
                    </w:rPr>
                    <w:t>4.5%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B466F3" w:rsidRPr="00F42593" w:rsidRDefault="00C07358" w:rsidP="007B25CF">
                  <w:pPr>
                    <w:jc w:val="center"/>
                    <w:rPr>
                      <w:sz w:val="20"/>
                      <w:szCs w:val="22"/>
                    </w:rPr>
                  </w:pPr>
                  <w:r w:rsidRPr="00F42593">
                    <w:rPr>
                      <w:rFonts w:asciiTheme="minorHAnsi" w:hAnsiTheme="minorHAnsi" w:cstheme="minorHAnsi"/>
                      <w:color w:val="000000"/>
                      <w:sz w:val="20"/>
                      <w:szCs w:val="22"/>
                    </w:rPr>
                    <w:t>+/-</w:t>
                  </w:r>
                  <w:r w:rsidR="007B25CF" w:rsidRPr="00F42593">
                    <w:rPr>
                      <w:rFonts w:asciiTheme="minorHAnsi" w:hAnsiTheme="minorHAnsi" w:cstheme="minorHAnsi"/>
                      <w:color w:val="000000"/>
                      <w:sz w:val="20"/>
                      <w:szCs w:val="22"/>
                    </w:rPr>
                    <w:t>3</w:t>
                  </w:r>
                  <w:r w:rsidRPr="00F42593">
                    <w:rPr>
                      <w:rFonts w:asciiTheme="minorHAnsi" w:hAnsiTheme="minorHAnsi" w:cstheme="minorHAnsi"/>
                      <w:color w:val="000000"/>
                      <w:sz w:val="20"/>
                      <w:szCs w:val="22"/>
                    </w:rPr>
                    <w:t>,000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</w:tcPr>
                <w:p w:rsidR="00B466F3" w:rsidRPr="00F42593" w:rsidRDefault="003F3DAC" w:rsidP="00B466F3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2"/>
                    </w:rPr>
                  </w:pPr>
                  <w:r w:rsidRPr="00F42593">
                    <w:rPr>
                      <w:rFonts w:asciiTheme="minorHAnsi" w:hAnsiTheme="minorHAnsi" w:cstheme="minorHAnsi"/>
                      <w:sz w:val="20"/>
                      <w:szCs w:val="22"/>
                    </w:rPr>
                    <w:t>47</w:t>
                  </w:r>
                  <w:r w:rsidR="00C07358" w:rsidRPr="00F42593">
                    <w:rPr>
                      <w:rFonts w:asciiTheme="minorHAnsi" w:hAnsiTheme="minorHAnsi" w:cstheme="minorHAnsi"/>
                      <w:sz w:val="20"/>
                      <w:szCs w:val="22"/>
                    </w:rPr>
                    <w:t>,000</w:t>
                  </w:r>
                </w:p>
              </w:tc>
            </w:tr>
            <w:tr w:rsidR="00B466F3" w:rsidRPr="00AE7477" w:rsidTr="00F42593">
              <w:trPr>
                <w:trHeight w:val="315"/>
              </w:trPr>
              <w:tc>
                <w:tcPr>
                  <w:tcW w:w="3856" w:type="dxa"/>
                  <w:shd w:val="clear" w:color="auto" w:fill="auto"/>
                  <w:noWrap/>
                  <w:vAlign w:val="bottom"/>
                  <w:hideMark/>
                </w:tcPr>
                <w:p w:rsidR="00B466F3" w:rsidRPr="00F42593" w:rsidRDefault="00B466F3" w:rsidP="00B466F3">
                  <w:pPr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2"/>
                      <w:lang w:eastAsia="en-GB"/>
                    </w:rPr>
                  </w:pPr>
                  <w:r w:rsidRPr="00F42593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2"/>
                      <w:lang w:eastAsia="en-GB"/>
                    </w:rPr>
                    <w:t>Lisburn and Castlereagh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</w:tcPr>
                <w:p w:rsidR="00B466F3" w:rsidRPr="00F42593" w:rsidRDefault="007B25CF" w:rsidP="007B25CF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2"/>
                    </w:rPr>
                  </w:pPr>
                  <w:r w:rsidRPr="00F42593">
                    <w:rPr>
                      <w:rFonts w:asciiTheme="minorHAnsi" w:hAnsiTheme="minorHAnsi" w:cstheme="minorHAnsi"/>
                      <w:sz w:val="20"/>
                      <w:szCs w:val="22"/>
                    </w:rPr>
                    <w:t>527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center"/>
                  <w:hideMark/>
                </w:tcPr>
                <w:p w:rsidR="00B466F3" w:rsidRPr="00F42593" w:rsidRDefault="007B25CF" w:rsidP="007B25CF">
                  <w:pPr>
                    <w:jc w:val="center"/>
                    <w:rPr>
                      <w:sz w:val="20"/>
                      <w:szCs w:val="22"/>
                    </w:rPr>
                  </w:pPr>
                  <w:r w:rsidRPr="00F42593">
                    <w:rPr>
                      <w:rFonts w:asciiTheme="minorHAnsi" w:hAnsiTheme="minorHAnsi" w:cstheme="minorHAnsi"/>
                      <w:color w:val="000000"/>
                      <w:sz w:val="20"/>
                      <w:szCs w:val="22"/>
                    </w:rPr>
                    <w:t>3.3%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B466F3" w:rsidRPr="00F42593" w:rsidRDefault="007B25CF" w:rsidP="00B466F3">
                  <w:pPr>
                    <w:jc w:val="center"/>
                    <w:rPr>
                      <w:sz w:val="20"/>
                      <w:szCs w:val="22"/>
                    </w:rPr>
                  </w:pPr>
                  <w:r w:rsidRPr="00F42593">
                    <w:rPr>
                      <w:rFonts w:asciiTheme="minorHAnsi" w:hAnsiTheme="minorHAnsi" w:cstheme="minorHAnsi"/>
                      <w:color w:val="000000"/>
                      <w:sz w:val="20"/>
                      <w:szCs w:val="22"/>
                    </w:rPr>
                    <w:t>+/-3</w:t>
                  </w:r>
                  <w:r w:rsidR="00C07358" w:rsidRPr="00F42593">
                    <w:rPr>
                      <w:rFonts w:asciiTheme="minorHAnsi" w:hAnsiTheme="minorHAnsi" w:cstheme="minorHAnsi"/>
                      <w:color w:val="000000"/>
                      <w:sz w:val="20"/>
                      <w:szCs w:val="22"/>
                    </w:rPr>
                    <w:t>,000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</w:tcPr>
                <w:p w:rsidR="00B466F3" w:rsidRPr="00F42593" w:rsidRDefault="003F3DAC" w:rsidP="00B466F3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2"/>
                    </w:rPr>
                  </w:pPr>
                  <w:r w:rsidRPr="00F42593">
                    <w:rPr>
                      <w:rFonts w:asciiTheme="minorHAnsi" w:hAnsiTheme="minorHAnsi" w:cstheme="minorHAnsi"/>
                      <w:sz w:val="20"/>
                      <w:szCs w:val="22"/>
                    </w:rPr>
                    <w:t>73</w:t>
                  </w:r>
                  <w:r w:rsidR="00C07358" w:rsidRPr="00F42593">
                    <w:rPr>
                      <w:rFonts w:asciiTheme="minorHAnsi" w:hAnsiTheme="minorHAnsi" w:cstheme="minorHAnsi"/>
                      <w:sz w:val="20"/>
                      <w:szCs w:val="22"/>
                    </w:rPr>
                    <w:t>,000</w:t>
                  </w:r>
                </w:p>
              </w:tc>
            </w:tr>
            <w:tr w:rsidR="00B466F3" w:rsidRPr="00AE7477" w:rsidTr="00F42593">
              <w:trPr>
                <w:trHeight w:val="315"/>
              </w:trPr>
              <w:tc>
                <w:tcPr>
                  <w:tcW w:w="3856" w:type="dxa"/>
                  <w:shd w:val="clear" w:color="auto" w:fill="auto"/>
                  <w:noWrap/>
                  <w:vAlign w:val="bottom"/>
                  <w:hideMark/>
                </w:tcPr>
                <w:p w:rsidR="00B466F3" w:rsidRPr="00AE7477" w:rsidRDefault="00B466F3" w:rsidP="00B466F3">
                  <w:pPr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AE7477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Mid and East Antrim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</w:tcPr>
                <w:p w:rsidR="00B466F3" w:rsidRPr="00AE7477" w:rsidRDefault="007B25CF" w:rsidP="007B25CF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AE7477">
                    <w:rPr>
                      <w:rFonts w:asciiTheme="minorHAnsi" w:hAnsiTheme="minorHAnsi" w:cstheme="minorHAnsi"/>
                      <w:sz w:val="22"/>
                      <w:szCs w:val="22"/>
                    </w:rPr>
                    <w:t>444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center"/>
                  <w:hideMark/>
                </w:tcPr>
                <w:p w:rsidR="00B466F3" w:rsidRPr="00AE7477" w:rsidRDefault="007B25CF" w:rsidP="007B25CF">
                  <w:pPr>
                    <w:jc w:val="center"/>
                    <w:rPr>
                      <w:sz w:val="22"/>
                      <w:szCs w:val="22"/>
                    </w:rPr>
                  </w:pPr>
                  <w:r w:rsidRPr="00AE7477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4.1%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B466F3" w:rsidRPr="00AE7477" w:rsidRDefault="00C07358" w:rsidP="007B25CF">
                  <w:pPr>
                    <w:jc w:val="center"/>
                    <w:rPr>
                      <w:sz w:val="22"/>
                      <w:szCs w:val="22"/>
                    </w:rPr>
                  </w:pPr>
                  <w:r w:rsidRPr="00AE7477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+/-</w:t>
                  </w:r>
                  <w:r w:rsidR="007B25CF" w:rsidRPr="00AE7477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3</w:t>
                  </w:r>
                  <w:r w:rsidRPr="00AE7477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,000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</w:tcPr>
                <w:p w:rsidR="00B466F3" w:rsidRPr="00AE7477" w:rsidRDefault="003F3DAC" w:rsidP="00B466F3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AE7477">
                    <w:rPr>
                      <w:rFonts w:asciiTheme="minorHAnsi" w:hAnsiTheme="minorHAnsi" w:cstheme="minorHAnsi"/>
                      <w:sz w:val="22"/>
                      <w:szCs w:val="22"/>
                    </w:rPr>
                    <w:t>62</w:t>
                  </w:r>
                  <w:r w:rsidR="00C07358" w:rsidRPr="00AE7477">
                    <w:rPr>
                      <w:rFonts w:asciiTheme="minorHAnsi" w:hAnsiTheme="minorHAnsi" w:cstheme="minorHAnsi"/>
                      <w:sz w:val="22"/>
                      <w:szCs w:val="22"/>
                    </w:rPr>
                    <w:t>,000</w:t>
                  </w:r>
                </w:p>
              </w:tc>
            </w:tr>
            <w:tr w:rsidR="00B466F3" w:rsidRPr="00AE7477" w:rsidTr="00F42593">
              <w:trPr>
                <w:trHeight w:val="315"/>
              </w:trPr>
              <w:tc>
                <w:tcPr>
                  <w:tcW w:w="3856" w:type="dxa"/>
                  <w:shd w:val="clear" w:color="auto" w:fill="auto"/>
                  <w:noWrap/>
                  <w:vAlign w:val="bottom"/>
                  <w:hideMark/>
                </w:tcPr>
                <w:p w:rsidR="00B466F3" w:rsidRPr="00F42593" w:rsidRDefault="00B466F3" w:rsidP="00B466F3">
                  <w:pPr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2"/>
                      <w:lang w:eastAsia="en-GB"/>
                    </w:rPr>
                  </w:pPr>
                  <w:r w:rsidRPr="00F42593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2"/>
                      <w:lang w:eastAsia="en-GB"/>
                    </w:rPr>
                    <w:lastRenderedPageBreak/>
                    <w:t>Mid Ulster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</w:tcPr>
                <w:p w:rsidR="00B466F3" w:rsidRPr="00F42593" w:rsidRDefault="007B25CF" w:rsidP="007B25CF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2"/>
                    </w:rPr>
                  </w:pPr>
                  <w:r w:rsidRPr="00F42593">
                    <w:rPr>
                      <w:rFonts w:asciiTheme="minorHAnsi" w:hAnsiTheme="minorHAnsi" w:cstheme="minorHAnsi"/>
                      <w:sz w:val="20"/>
                      <w:szCs w:val="22"/>
                    </w:rPr>
                    <w:t>547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center"/>
                  <w:hideMark/>
                </w:tcPr>
                <w:p w:rsidR="00B466F3" w:rsidRPr="00F42593" w:rsidRDefault="007B25CF" w:rsidP="007B25CF">
                  <w:pPr>
                    <w:jc w:val="center"/>
                    <w:rPr>
                      <w:sz w:val="20"/>
                      <w:szCs w:val="22"/>
                    </w:rPr>
                  </w:pPr>
                  <w:r w:rsidRPr="00F42593">
                    <w:rPr>
                      <w:rFonts w:asciiTheme="minorHAnsi" w:hAnsiTheme="minorHAnsi" w:cstheme="minorHAnsi"/>
                      <w:color w:val="000000"/>
                      <w:sz w:val="20"/>
                      <w:szCs w:val="22"/>
                    </w:rPr>
                    <w:t>3.6%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B466F3" w:rsidRPr="00F42593" w:rsidRDefault="007B25CF" w:rsidP="007B25CF">
                  <w:pPr>
                    <w:jc w:val="center"/>
                    <w:rPr>
                      <w:sz w:val="20"/>
                      <w:szCs w:val="22"/>
                    </w:rPr>
                  </w:pPr>
                  <w:r w:rsidRPr="00F42593">
                    <w:rPr>
                      <w:rFonts w:asciiTheme="minorHAnsi" w:hAnsiTheme="minorHAnsi" w:cstheme="minorHAnsi"/>
                      <w:color w:val="000000"/>
                      <w:sz w:val="20"/>
                      <w:szCs w:val="22"/>
                    </w:rPr>
                    <w:t>+/-300</w:t>
                  </w:r>
                  <w:r w:rsidR="00C07358" w:rsidRPr="00F42593">
                    <w:rPr>
                      <w:rFonts w:asciiTheme="minorHAnsi" w:hAnsiTheme="minorHAnsi" w:cstheme="minorHAnsi"/>
                      <w:color w:val="000000"/>
                      <w:sz w:val="20"/>
                      <w:szCs w:val="22"/>
                    </w:rPr>
                    <w:t>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</w:tcPr>
                <w:p w:rsidR="00B466F3" w:rsidRPr="00F42593" w:rsidRDefault="003F3DAC" w:rsidP="00B466F3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2"/>
                    </w:rPr>
                  </w:pPr>
                  <w:r w:rsidRPr="00F42593">
                    <w:rPr>
                      <w:rFonts w:asciiTheme="minorHAnsi" w:hAnsiTheme="minorHAnsi" w:cstheme="minorHAnsi"/>
                      <w:sz w:val="20"/>
                      <w:szCs w:val="22"/>
                    </w:rPr>
                    <w:t>71</w:t>
                  </w:r>
                  <w:r w:rsidR="00C07358" w:rsidRPr="00F42593">
                    <w:rPr>
                      <w:rFonts w:asciiTheme="minorHAnsi" w:hAnsiTheme="minorHAnsi" w:cstheme="minorHAnsi"/>
                      <w:sz w:val="20"/>
                      <w:szCs w:val="22"/>
                    </w:rPr>
                    <w:t>,000</w:t>
                  </w:r>
                </w:p>
              </w:tc>
            </w:tr>
            <w:tr w:rsidR="00B466F3" w:rsidRPr="00AE7477" w:rsidTr="00F42593">
              <w:trPr>
                <w:trHeight w:val="315"/>
              </w:trPr>
              <w:tc>
                <w:tcPr>
                  <w:tcW w:w="3856" w:type="dxa"/>
                  <w:shd w:val="clear" w:color="auto" w:fill="auto"/>
                  <w:noWrap/>
                  <w:vAlign w:val="bottom"/>
                  <w:hideMark/>
                </w:tcPr>
                <w:p w:rsidR="00B466F3" w:rsidRPr="00F42593" w:rsidRDefault="00B466F3" w:rsidP="00B466F3">
                  <w:pPr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2"/>
                      <w:lang w:eastAsia="en-GB"/>
                    </w:rPr>
                  </w:pPr>
                  <w:r w:rsidRPr="00F42593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2"/>
                      <w:lang w:eastAsia="en-GB"/>
                    </w:rPr>
                    <w:t>Newry</w:t>
                  </w:r>
                  <w:r w:rsidR="000754B2" w:rsidRPr="00F42593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2"/>
                      <w:lang w:eastAsia="en-GB"/>
                    </w:rPr>
                    <w:t>,</w:t>
                  </w:r>
                  <w:r w:rsidRPr="00F42593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2"/>
                      <w:lang w:eastAsia="en-GB"/>
                    </w:rPr>
                    <w:t xml:space="preserve"> Mourne and Down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</w:tcPr>
                <w:p w:rsidR="00B466F3" w:rsidRPr="00F42593" w:rsidRDefault="007B25CF" w:rsidP="007B25CF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2"/>
                    </w:rPr>
                  </w:pPr>
                  <w:r w:rsidRPr="00F42593">
                    <w:rPr>
                      <w:rFonts w:asciiTheme="minorHAnsi" w:hAnsiTheme="minorHAnsi" w:cstheme="minorHAnsi"/>
                      <w:sz w:val="20"/>
                      <w:szCs w:val="22"/>
                    </w:rPr>
                    <w:t>651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center"/>
                  <w:hideMark/>
                </w:tcPr>
                <w:p w:rsidR="00B466F3" w:rsidRPr="00F42593" w:rsidRDefault="007B25CF" w:rsidP="007B25CF">
                  <w:pPr>
                    <w:jc w:val="center"/>
                    <w:rPr>
                      <w:sz w:val="20"/>
                      <w:szCs w:val="22"/>
                    </w:rPr>
                  </w:pPr>
                  <w:r w:rsidRPr="00F42593">
                    <w:rPr>
                      <w:rFonts w:asciiTheme="minorHAnsi" w:hAnsiTheme="minorHAnsi" w:cstheme="minorHAnsi"/>
                      <w:color w:val="000000"/>
                      <w:sz w:val="20"/>
                      <w:szCs w:val="22"/>
                    </w:rPr>
                    <w:t>3.4%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B466F3" w:rsidRPr="00F42593" w:rsidRDefault="007B25CF" w:rsidP="00B466F3">
                  <w:pPr>
                    <w:jc w:val="center"/>
                    <w:rPr>
                      <w:sz w:val="20"/>
                      <w:szCs w:val="22"/>
                    </w:rPr>
                  </w:pPr>
                  <w:r w:rsidRPr="00F42593">
                    <w:rPr>
                      <w:rFonts w:asciiTheme="minorHAnsi" w:hAnsiTheme="minorHAnsi" w:cstheme="minorHAnsi"/>
                      <w:color w:val="000000"/>
                      <w:sz w:val="20"/>
                      <w:szCs w:val="22"/>
                    </w:rPr>
                    <w:t>+/-4</w:t>
                  </w:r>
                  <w:r w:rsidR="00C07358" w:rsidRPr="00F42593">
                    <w:rPr>
                      <w:rFonts w:asciiTheme="minorHAnsi" w:hAnsiTheme="minorHAnsi" w:cstheme="minorHAnsi"/>
                      <w:color w:val="000000"/>
                      <w:sz w:val="20"/>
                      <w:szCs w:val="22"/>
                    </w:rPr>
                    <w:t>,000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</w:tcPr>
                <w:p w:rsidR="00B466F3" w:rsidRPr="00F42593" w:rsidRDefault="003F3DAC" w:rsidP="00B466F3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2"/>
                    </w:rPr>
                  </w:pPr>
                  <w:r w:rsidRPr="00F42593">
                    <w:rPr>
                      <w:rFonts w:asciiTheme="minorHAnsi" w:hAnsiTheme="minorHAnsi" w:cstheme="minorHAnsi"/>
                      <w:sz w:val="20"/>
                      <w:szCs w:val="22"/>
                    </w:rPr>
                    <w:t>81</w:t>
                  </w:r>
                  <w:r w:rsidR="00C07358" w:rsidRPr="00F42593">
                    <w:rPr>
                      <w:rFonts w:asciiTheme="minorHAnsi" w:hAnsiTheme="minorHAnsi" w:cstheme="minorHAnsi"/>
                      <w:sz w:val="20"/>
                      <w:szCs w:val="22"/>
                    </w:rPr>
                    <w:t>,000</w:t>
                  </w:r>
                </w:p>
              </w:tc>
            </w:tr>
            <w:tr w:rsidR="00B466F3" w:rsidRPr="00AE7477" w:rsidTr="00F42593">
              <w:trPr>
                <w:trHeight w:val="315"/>
              </w:trPr>
              <w:tc>
                <w:tcPr>
                  <w:tcW w:w="3856" w:type="dxa"/>
                  <w:shd w:val="clear" w:color="auto" w:fill="auto"/>
                  <w:noWrap/>
                  <w:vAlign w:val="bottom"/>
                  <w:hideMark/>
                </w:tcPr>
                <w:p w:rsidR="00B466F3" w:rsidRPr="00F42593" w:rsidRDefault="00B466F3" w:rsidP="00B466F3">
                  <w:pPr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2"/>
                      <w:lang w:eastAsia="en-GB"/>
                    </w:rPr>
                  </w:pPr>
                  <w:r w:rsidRPr="00F42593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2"/>
                      <w:lang w:eastAsia="en-GB"/>
                    </w:rPr>
                    <w:t>Total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</w:tcPr>
                <w:p w:rsidR="00B466F3" w:rsidRPr="00F42593" w:rsidRDefault="00AE7477" w:rsidP="007B25CF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2"/>
                      <w:lang w:eastAsia="en-GB"/>
                    </w:rPr>
                  </w:pPr>
                  <w:r w:rsidRPr="00F42593">
                    <w:rPr>
                      <w:rFonts w:asciiTheme="minorHAnsi" w:hAnsiTheme="minorHAnsi" w:cstheme="minorHAnsi"/>
                      <w:sz w:val="20"/>
                      <w:szCs w:val="22"/>
                      <w:lang w:eastAsia="en-GB"/>
                    </w:rPr>
                    <w:t>6,595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center"/>
                  <w:hideMark/>
                </w:tcPr>
                <w:p w:rsidR="00B466F3" w:rsidRPr="00F42593" w:rsidRDefault="007B25CF" w:rsidP="007B25CF">
                  <w:pPr>
                    <w:jc w:val="center"/>
                    <w:rPr>
                      <w:sz w:val="20"/>
                      <w:szCs w:val="22"/>
                    </w:rPr>
                  </w:pPr>
                  <w:r w:rsidRPr="00F42593">
                    <w:rPr>
                      <w:rFonts w:asciiTheme="minorHAnsi" w:hAnsiTheme="minorHAnsi" w:cstheme="minorHAnsi"/>
                      <w:color w:val="000000"/>
                      <w:sz w:val="20"/>
                      <w:szCs w:val="22"/>
                    </w:rPr>
                    <w:t>1.1%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B466F3" w:rsidRPr="00F42593" w:rsidRDefault="00C07358" w:rsidP="007B25CF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2"/>
                    </w:rPr>
                  </w:pPr>
                  <w:r w:rsidRPr="00F42593">
                    <w:rPr>
                      <w:rFonts w:asciiTheme="minorHAnsi" w:hAnsiTheme="minorHAnsi" w:cstheme="minorHAnsi"/>
                      <w:color w:val="000000"/>
                      <w:sz w:val="20"/>
                      <w:szCs w:val="22"/>
                    </w:rPr>
                    <w:t>+/-1</w:t>
                  </w:r>
                  <w:r w:rsidR="007B25CF" w:rsidRPr="00F42593">
                    <w:rPr>
                      <w:rFonts w:asciiTheme="minorHAnsi" w:hAnsiTheme="minorHAnsi" w:cstheme="minorHAnsi"/>
                      <w:color w:val="000000"/>
                      <w:sz w:val="20"/>
                      <w:szCs w:val="22"/>
                    </w:rPr>
                    <w:t>3</w:t>
                  </w:r>
                  <w:r w:rsidRPr="00F42593">
                    <w:rPr>
                      <w:rFonts w:asciiTheme="minorHAnsi" w:hAnsiTheme="minorHAnsi" w:cstheme="minorHAnsi"/>
                      <w:color w:val="000000"/>
                      <w:sz w:val="20"/>
                      <w:szCs w:val="22"/>
                    </w:rPr>
                    <w:t>,000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</w:tcPr>
                <w:p w:rsidR="00B466F3" w:rsidRPr="00F42593" w:rsidRDefault="00C07358" w:rsidP="00B466F3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2"/>
                    </w:rPr>
                  </w:pPr>
                  <w:r w:rsidRPr="00F42593">
                    <w:rPr>
                      <w:rFonts w:asciiTheme="minorHAnsi" w:hAnsiTheme="minorHAnsi" w:cstheme="minorHAnsi"/>
                      <w:sz w:val="20"/>
                      <w:szCs w:val="22"/>
                    </w:rPr>
                    <w:t>8</w:t>
                  </w:r>
                  <w:r w:rsidR="003F3DAC" w:rsidRPr="00F42593">
                    <w:rPr>
                      <w:rFonts w:asciiTheme="minorHAnsi" w:hAnsiTheme="minorHAnsi" w:cstheme="minorHAnsi"/>
                      <w:sz w:val="20"/>
                      <w:szCs w:val="22"/>
                    </w:rPr>
                    <w:t>39</w:t>
                  </w:r>
                  <w:r w:rsidRPr="00F42593">
                    <w:rPr>
                      <w:rFonts w:asciiTheme="minorHAnsi" w:hAnsiTheme="minorHAnsi" w:cstheme="minorHAnsi"/>
                      <w:sz w:val="20"/>
                      <w:szCs w:val="22"/>
                    </w:rPr>
                    <w:t>,000</w:t>
                  </w:r>
                </w:p>
              </w:tc>
            </w:tr>
          </w:tbl>
          <w:p w:rsidR="00532AF1" w:rsidRPr="00AE7477" w:rsidRDefault="00532AF1" w:rsidP="00532AF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32AF1" w:rsidRPr="00AE7477" w:rsidTr="00AE7477">
        <w:trPr>
          <w:trHeight w:val="852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532AF1" w:rsidRPr="00AE7477" w:rsidRDefault="00532AF1" w:rsidP="001E691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E7477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UK/</w:t>
            </w:r>
            <w:proofErr w:type="spellStart"/>
            <w:r w:rsidRPr="00AE7477">
              <w:rPr>
                <w:rFonts w:asciiTheme="minorHAnsi" w:hAnsiTheme="minorHAnsi"/>
                <w:b/>
                <w:sz w:val="22"/>
                <w:szCs w:val="22"/>
              </w:rPr>
              <w:t>RoI</w:t>
            </w:r>
            <w:proofErr w:type="spellEnd"/>
            <w:r w:rsidRPr="00AE7477">
              <w:rPr>
                <w:rFonts w:asciiTheme="minorHAnsi" w:hAnsiTheme="minorHAnsi"/>
                <w:b/>
                <w:sz w:val="22"/>
                <w:szCs w:val="22"/>
              </w:rPr>
              <w:t>/International comparisons:</w:t>
            </w:r>
          </w:p>
        </w:tc>
        <w:tc>
          <w:tcPr>
            <w:tcW w:w="8760" w:type="dxa"/>
            <w:gridSpan w:val="2"/>
            <w:vAlign w:val="center"/>
          </w:tcPr>
          <w:p w:rsidR="00532AF1" w:rsidRPr="00AE7477" w:rsidRDefault="00532AF1" w:rsidP="00532AF1">
            <w:pPr>
              <w:rPr>
                <w:rFonts w:asciiTheme="minorHAnsi" w:hAnsiTheme="minorHAnsi"/>
                <w:sz w:val="22"/>
                <w:szCs w:val="22"/>
              </w:rPr>
            </w:pPr>
            <w:r w:rsidRPr="00AE7477">
              <w:rPr>
                <w:rFonts w:asciiTheme="minorHAnsi" w:hAnsiTheme="minorHAnsi"/>
                <w:sz w:val="22"/>
                <w:szCs w:val="22"/>
              </w:rPr>
              <w:t>UK: Yes</w:t>
            </w:r>
            <w:r w:rsidR="001C5680" w:rsidRPr="00AE7477">
              <w:rPr>
                <w:rFonts w:asciiTheme="minorHAnsi" w:hAnsiTheme="minorHAnsi"/>
                <w:sz w:val="22"/>
                <w:szCs w:val="22"/>
              </w:rPr>
              <w:t xml:space="preserve">.  </w:t>
            </w:r>
            <w:r w:rsidRPr="00AE7477">
              <w:rPr>
                <w:rFonts w:asciiTheme="minorHAnsi" w:hAnsiTheme="minorHAnsi"/>
                <w:sz w:val="22"/>
                <w:szCs w:val="22"/>
              </w:rPr>
              <w:t>UK Regional: Yes</w:t>
            </w:r>
          </w:p>
          <w:p w:rsidR="001C5680" w:rsidRPr="00AE7477" w:rsidRDefault="001C5680" w:rsidP="00532AF1">
            <w:pPr>
              <w:rPr>
                <w:rFonts w:asciiTheme="minorHAnsi" w:hAnsiTheme="minorHAnsi"/>
                <w:sz w:val="22"/>
                <w:szCs w:val="22"/>
              </w:rPr>
            </w:pPr>
            <w:r w:rsidRPr="00AE7477">
              <w:rPr>
                <w:rFonts w:asciiTheme="minorHAnsi" w:hAnsiTheme="minorHAnsi"/>
                <w:sz w:val="22"/>
                <w:szCs w:val="22"/>
              </w:rPr>
              <w:t xml:space="preserve">ROI: </w:t>
            </w:r>
            <w:r w:rsidR="004A2488" w:rsidRPr="00AE7477">
              <w:rPr>
                <w:rFonts w:asciiTheme="minorHAnsi" w:hAnsiTheme="minorHAnsi"/>
                <w:sz w:val="22"/>
                <w:szCs w:val="22"/>
              </w:rPr>
              <w:t>Yes</w:t>
            </w:r>
          </w:p>
          <w:p w:rsidR="00532AF1" w:rsidRPr="00AE7477" w:rsidRDefault="00532AF1" w:rsidP="00532AF1">
            <w:pPr>
              <w:rPr>
                <w:rFonts w:asciiTheme="minorHAnsi" w:hAnsiTheme="minorHAnsi"/>
                <w:sz w:val="22"/>
                <w:szCs w:val="22"/>
              </w:rPr>
            </w:pPr>
            <w:r w:rsidRPr="00AE7477">
              <w:rPr>
                <w:rFonts w:asciiTheme="minorHAnsi" w:hAnsiTheme="minorHAnsi"/>
                <w:sz w:val="22"/>
                <w:szCs w:val="22"/>
              </w:rPr>
              <w:t xml:space="preserve">International (please specify countries): </w:t>
            </w:r>
          </w:p>
        </w:tc>
        <w:bookmarkStart w:id="0" w:name="_GoBack"/>
        <w:bookmarkEnd w:id="0"/>
      </w:tr>
      <w:tr w:rsidR="002F1337" w:rsidRPr="00AE7477" w:rsidTr="00AE7477">
        <w:trPr>
          <w:trHeight w:val="1417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2F1337" w:rsidRPr="00AE7477" w:rsidRDefault="00532AF1" w:rsidP="00532AF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E7477">
              <w:rPr>
                <w:rFonts w:asciiTheme="minorHAnsi" w:hAnsiTheme="minorHAnsi"/>
                <w:b/>
                <w:sz w:val="22"/>
                <w:szCs w:val="22"/>
              </w:rPr>
              <w:t>Issues in relation to this data, e.g. data limitations, future data availability, changes to methodology</w:t>
            </w:r>
          </w:p>
        </w:tc>
        <w:tc>
          <w:tcPr>
            <w:tcW w:w="8760" w:type="dxa"/>
            <w:gridSpan w:val="2"/>
            <w:vAlign w:val="center"/>
          </w:tcPr>
          <w:p w:rsidR="003E72B1" w:rsidRPr="00AE7477" w:rsidRDefault="003E72B1" w:rsidP="003E72B1">
            <w:pPr>
              <w:rPr>
                <w:rFonts w:asciiTheme="minorHAnsi" w:hAnsiTheme="minorHAnsi"/>
                <w:sz w:val="22"/>
                <w:szCs w:val="22"/>
              </w:rPr>
            </w:pPr>
            <w:r w:rsidRPr="00AE7477">
              <w:rPr>
                <w:rFonts w:asciiTheme="minorHAnsi" w:hAnsiTheme="minorHAnsi"/>
                <w:sz w:val="22"/>
                <w:szCs w:val="22"/>
              </w:rPr>
              <w:t>The definition of ILO employed applies to anyone (aged 16 or over) who</w:t>
            </w:r>
            <w:r w:rsidR="00AA1984">
              <w:rPr>
                <w:rFonts w:asciiTheme="minorHAnsi" w:hAnsiTheme="minorHAnsi"/>
                <w:sz w:val="22"/>
                <w:szCs w:val="22"/>
              </w:rPr>
              <w:t xml:space="preserve"> has carried out at least one </w:t>
            </w:r>
            <w:r w:rsidRPr="00AE7477">
              <w:rPr>
                <w:rFonts w:asciiTheme="minorHAnsi" w:hAnsiTheme="minorHAnsi"/>
                <w:sz w:val="22"/>
                <w:szCs w:val="22"/>
              </w:rPr>
              <w:t xml:space="preserve">hour’s paid work in the week prior to interview, or has a job they are temporarily away </w:t>
            </w:r>
            <w:r w:rsidR="00AA1984">
              <w:rPr>
                <w:rFonts w:asciiTheme="minorHAnsi" w:hAnsiTheme="minorHAnsi"/>
                <w:sz w:val="22"/>
                <w:szCs w:val="22"/>
              </w:rPr>
              <w:t>f</w:t>
            </w:r>
            <w:r w:rsidRPr="00AE7477">
              <w:rPr>
                <w:rFonts w:asciiTheme="minorHAnsi" w:hAnsiTheme="minorHAnsi"/>
                <w:sz w:val="22"/>
                <w:szCs w:val="22"/>
              </w:rPr>
              <w:t>rom (e.g. on holiday). Also included are people who do unpaid work in a family busin</w:t>
            </w:r>
            <w:r w:rsidR="00AA1984">
              <w:rPr>
                <w:rFonts w:asciiTheme="minorHAnsi" w:hAnsiTheme="minorHAnsi"/>
                <w:sz w:val="22"/>
                <w:szCs w:val="22"/>
              </w:rPr>
              <w:t>ess and people on Government-</w:t>
            </w:r>
            <w:r w:rsidRPr="00AE7477">
              <w:rPr>
                <w:rFonts w:asciiTheme="minorHAnsi" w:hAnsiTheme="minorHAnsi"/>
                <w:sz w:val="22"/>
                <w:szCs w:val="22"/>
              </w:rPr>
              <w:t>supported employment training schemes.</w:t>
            </w:r>
            <w:r w:rsidR="00E27C4A" w:rsidRPr="00AE7477">
              <w:rPr>
                <w:rFonts w:asciiTheme="minorHAnsi" w:hAnsiTheme="minorHAnsi"/>
                <w:sz w:val="22"/>
                <w:szCs w:val="22"/>
              </w:rPr>
              <w:t xml:space="preserve"> The employment rate refers to those aged 16-64.</w:t>
            </w:r>
          </w:p>
          <w:p w:rsidR="002F1337" w:rsidRPr="00AE7477" w:rsidRDefault="002F1337" w:rsidP="003E72B1">
            <w:pPr>
              <w:rPr>
                <w:rFonts w:asciiTheme="minorHAnsi" w:hAnsiTheme="minorHAnsi"/>
                <w:sz w:val="22"/>
                <w:szCs w:val="22"/>
              </w:rPr>
            </w:pPr>
            <w:r w:rsidRPr="00AE7477">
              <w:rPr>
                <w:rFonts w:asciiTheme="minorHAnsi" w:hAnsiTheme="minorHAnsi"/>
                <w:sz w:val="22"/>
                <w:szCs w:val="22"/>
              </w:rPr>
              <w:t>Figures taken from the LFS are subject to sampling error that decreases as the sample size increases</w:t>
            </w:r>
            <w:r w:rsidR="003E72B1" w:rsidRPr="00AE7477">
              <w:rPr>
                <w:rFonts w:asciiTheme="minorHAnsi" w:hAnsiTheme="minorHAnsi"/>
                <w:sz w:val="22"/>
                <w:szCs w:val="22"/>
              </w:rPr>
              <w:t>.</w:t>
            </w:r>
            <w:r w:rsidR="00B2736F">
              <w:rPr>
                <w:rFonts w:asciiTheme="minorHAnsi" w:hAnsiTheme="minorHAnsi"/>
                <w:sz w:val="22"/>
                <w:szCs w:val="22"/>
              </w:rPr>
              <w:t xml:space="preserve"> The </w:t>
            </w:r>
            <w:r w:rsidRPr="00AE7477">
              <w:rPr>
                <w:rFonts w:asciiTheme="minorHAnsi" w:hAnsiTheme="minorHAnsi"/>
                <w:sz w:val="22"/>
                <w:szCs w:val="22"/>
              </w:rPr>
              <w:t xml:space="preserve">LFS is a household survey </w:t>
            </w:r>
            <w:r w:rsidR="00B2736F">
              <w:rPr>
                <w:rFonts w:asciiTheme="minorHAnsi" w:hAnsiTheme="minorHAnsi"/>
                <w:sz w:val="22"/>
                <w:szCs w:val="22"/>
              </w:rPr>
              <w:t>therefore</w:t>
            </w:r>
            <w:r w:rsidRPr="00AE7477">
              <w:rPr>
                <w:rFonts w:asciiTheme="minorHAnsi" w:hAnsiTheme="minorHAnsi"/>
                <w:sz w:val="22"/>
                <w:szCs w:val="22"/>
              </w:rPr>
              <w:t xml:space="preserve"> records the employment in the LGD that the person lives, not necessarily where they work</w:t>
            </w:r>
            <w:r w:rsidR="00D30094" w:rsidRPr="00AE7477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91117" w:rsidRPr="00AE7477" w:rsidRDefault="00E27C4A" w:rsidP="00B2736F">
            <w:pPr>
              <w:rPr>
                <w:rFonts w:asciiTheme="minorHAnsi" w:hAnsiTheme="minorHAnsi"/>
                <w:sz w:val="22"/>
                <w:szCs w:val="22"/>
              </w:rPr>
            </w:pPr>
            <w:r w:rsidRPr="00AE7477">
              <w:rPr>
                <w:rFonts w:asciiTheme="minorHAnsi" w:hAnsiTheme="minorHAnsi"/>
                <w:sz w:val="22"/>
                <w:szCs w:val="22"/>
              </w:rPr>
              <w:t xml:space="preserve">In February 2019 annual LFS datasets 2012-2017 were revised due to reweighting using the latest </w:t>
            </w:r>
            <w:r w:rsidR="003F3DAC" w:rsidRPr="00AE7477">
              <w:rPr>
                <w:rFonts w:asciiTheme="minorHAnsi" w:hAnsiTheme="minorHAnsi"/>
                <w:sz w:val="22"/>
                <w:szCs w:val="22"/>
              </w:rPr>
              <w:t>population estimates.</w:t>
            </w:r>
            <w:r w:rsidR="00AE7477" w:rsidRPr="00AE7477">
              <w:rPr>
                <w:rFonts w:asciiTheme="minorHAnsi" w:hAnsiTheme="minorHAnsi"/>
                <w:sz w:val="22"/>
                <w:szCs w:val="22"/>
              </w:rPr>
              <w:t xml:space="preserve"> These changes were reflected in last year’s measurement annex and </w:t>
            </w:r>
            <w:proofErr w:type="spellStart"/>
            <w:r w:rsidR="00AE7477" w:rsidRPr="00AE7477">
              <w:rPr>
                <w:rFonts w:asciiTheme="minorHAnsi" w:hAnsiTheme="minorHAnsi"/>
                <w:sz w:val="22"/>
                <w:szCs w:val="22"/>
              </w:rPr>
              <w:t>proforma</w:t>
            </w:r>
            <w:proofErr w:type="spellEnd"/>
            <w:r w:rsidR="00AE7477" w:rsidRPr="00AE7477">
              <w:rPr>
                <w:rFonts w:asciiTheme="minorHAnsi" w:hAnsiTheme="minorHAnsi"/>
                <w:sz w:val="22"/>
                <w:szCs w:val="22"/>
              </w:rPr>
              <w:t>.</w:t>
            </w:r>
            <w:r w:rsidR="00AA198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AE7477">
              <w:rPr>
                <w:rFonts w:asciiTheme="minorHAnsi" w:hAnsiTheme="minorHAnsi"/>
                <w:sz w:val="22"/>
                <w:szCs w:val="22"/>
              </w:rPr>
              <w:t xml:space="preserve">Additionally, estimates from the 2018 </w:t>
            </w:r>
            <w:r w:rsidR="003F3DAC" w:rsidRPr="00AE7477">
              <w:rPr>
                <w:rFonts w:asciiTheme="minorHAnsi" w:hAnsiTheme="minorHAnsi"/>
                <w:sz w:val="22"/>
                <w:szCs w:val="22"/>
              </w:rPr>
              <w:t xml:space="preserve">and 2019 </w:t>
            </w:r>
            <w:r w:rsidRPr="00AE7477">
              <w:rPr>
                <w:rFonts w:asciiTheme="minorHAnsi" w:hAnsiTheme="minorHAnsi"/>
                <w:sz w:val="22"/>
                <w:szCs w:val="22"/>
              </w:rPr>
              <w:t xml:space="preserve">dataset include a boost to the Northern Ireland Labour Force </w:t>
            </w:r>
            <w:r w:rsidRPr="00AA1984">
              <w:rPr>
                <w:rFonts w:asciiTheme="minorHAnsi" w:hAnsiTheme="minorHAnsi"/>
                <w:sz w:val="22"/>
                <w:szCs w:val="22"/>
              </w:rPr>
              <w:t xml:space="preserve">Survey </w:t>
            </w:r>
            <w:r w:rsidRPr="00AA1984">
              <w:rPr>
                <w:rFonts w:asciiTheme="minorHAnsi" w:hAnsiTheme="minorHAnsi" w:cstheme="minorHAnsi"/>
                <w:sz w:val="22"/>
                <w:szCs w:val="22"/>
              </w:rPr>
              <w:t>sample (</w:t>
            </w:r>
            <w:r w:rsidR="00B2736F">
              <w:rPr>
                <w:rFonts w:asciiTheme="minorHAnsi" w:hAnsiTheme="minorHAnsi" w:cstheme="minorHAnsi"/>
                <w:sz w:val="22"/>
                <w:szCs w:val="22"/>
              </w:rPr>
              <w:t xml:space="preserve">see </w:t>
            </w:r>
            <w:hyperlink r:id="rId10" w:history="1">
              <w:r w:rsidR="00AA1984" w:rsidRPr="00AA1984">
                <w:rPr>
                  <w:rFonts w:asciiTheme="minorHAnsi" w:hAnsiTheme="minorHAnsi" w:cstheme="minorHAnsi"/>
                  <w:color w:val="002060"/>
                  <w:sz w:val="22"/>
                  <w:szCs w:val="22"/>
                  <w:u w:val="single"/>
                </w:rPr>
                <w:t>Impact of LF</w:t>
              </w:r>
              <w:r w:rsidR="00AA1984" w:rsidRPr="00AA1984">
                <w:rPr>
                  <w:rFonts w:asciiTheme="minorHAnsi" w:hAnsiTheme="minorHAnsi" w:cstheme="minorHAnsi"/>
                  <w:color w:val="002060"/>
                  <w:sz w:val="22"/>
                  <w:szCs w:val="22"/>
                  <w:u w:val="single"/>
                </w:rPr>
                <w:t>S</w:t>
              </w:r>
              <w:r w:rsidR="00AA1984" w:rsidRPr="00AA1984">
                <w:rPr>
                  <w:rFonts w:asciiTheme="minorHAnsi" w:hAnsiTheme="minorHAnsi" w:cstheme="minorHAnsi"/>
                  <w:color w:val="002060"/>
                  <w:sz w:val="22"/>
                  <w:szCs w:val="22"/>
                  <w:u w:val="single"/>
                </w:rPr>
                <w:t xml:space="preserve"> Revisions</w:t>
              </w:r>
            </w:hyperlink>
            <w:r w:rsidR="00B2736F">
              <w:rPr>
                <w:rFonts w:asciiTheme="minorHAnsi" w:hAnsiTheme="minorHAnsi" w:cstheme="minorHAnsi"/>
                <w:color w:val="002060"/>
                <w:sz w:val="22"/>
                <w:szCs w:val="22"/>
                <w:u w:val="single"/>
              </w:rPr>
              <w:t>)</w:t>
            </w:r>
            <w:r w:rsidRPr="00AE7477">
              <w:rPr>
                <w:rFonts w:asciiTheme="minorHAnsi" w:hAnsiTheme="minorHAnsi"/>
                <w:sz w:val="22"/>
                <w:szCs w:val="22"/>
              </w:rPr>
              <w:t>.</w:t>
            </w:r>
            <w:r w:rsidR="00AE7477" w:rsidRPr="00AE7477">
              <w:rPr>
                <w:rFonts w:asciiTheme="minorHAnsi" w:hAnsiTheme="minorHAnsi"/>
                <w:sz w:val="22"/>
                <w:szCs w:val="22"/>
              </w:rPr>
              <w:t xml:space="preserve"> Last year’s measurement annex and </w:t>
            </w:r>
            <w:proofErr w:type="spellStart"/>
            <w:r w:rsidR="00AE7477" w:rsidRPr="00AE7477">
              <w:rPr>
                <w:rFonts w:asciiTheme="minorHAnsi" w:hAnsiTheme="minorHAnsi"/>
                <w:sz w:val="22"/>
                <w:szCs w:val="22"/>
              </w:rPr>
              <w:t>proforma</w:t>
            </w:r>
            <w:proofErr w:type="spellEnd"/>
            <w:r w:rsidR="00AE7477" w:rsidRPr="00AE7477">
              <w:rPr>
                <w:rFonts w:asciiTheme="minorHAnsi" w:hAnsiTheme="minorHAnsi"/>
                <w:sz w:val="22"/>
                <w:szCs w:val="22"/>
              </w:rPr>
              <w:t xml:space="preserve"> reflected the boost to the 2018 sample.</w:t>
            </w:r>
          </w:p>
        </w:tc>
      </w:tr>
      <w:tr w:rsidR="002F1337" w:rsidRPr="00AE7477" w:rsidTr="00F42593">
        <w:trPr>
          <w:trHeight w:val="340"/>
        </w:trPr>
        <w:tc>
          <w:tcPr>
            <w:tcW w:w="10201" w:type="dxa"/>
            <w:gridSpan w:val="2"/>
            <w:shd w:val="clear" w:color="auto" w:fill="D9D9D9" w:themeFill="background1" w:themeFillShade="D9"/>
            <w:vAlign w:val="center"/>
          </w:tcPr>
          <w:p w:rsidR="002F1337" w:rsidRPr="00AE7477" w:rsidRDefault="002F1337" w:rsidP="00532AF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E7477">
              <w:rPr>
                <w:rFonts w:asciiTheme="minorHAnsi" w:hAnsiTheme="minorHAnsi"/>
                <w:b/>
                <w:sz w:val="22"/>
                <w:szCs w:val="22"/>
              </w:rPr>
              <w:t>Is this measure being used to monitor performance against your current/latest Departmental/ Agency Plan</w:t>
            </w:r>
          </w:p>
        </w:tc>
        <w:tc>
          <w:tcPr>
            <w:tcW w:w="539" w:type="dxa"/>
            <w:vAlign w:val="center"/>
          </w:tcPr>
          <w:p w:rsidR="002F1337" w:rsidRPr="00AE7477" w:rsidRDefault="0095664D" w:rsidP="00532AF1">
            <w:pPr>
              <w:rPr>
                <w:rFonts w:asciiTheme="minorHAnsi" w:hAnsiTheme="minorHAnsi"/>
                <w:sz w:val="22"/>
                <w:szCs w:val="22"/>
              </w:rPr>
            </w:pPr>
            <w:r w:rsidRPr="00AE7477"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</w:tr>
      <w:tr w:rsidR="002F1337" w:rsidRPr="00AE7477" w:rsidTr="00F42593">
        <w:tc>
          <w:tcPr>
            <w:tcW w:w="10201" w:type="dxa"/>
            <w:gridSpan w:val="2"/>
            <w:shd w:val="clear" w:color="auto" w:fill="D9D9D9" w:themeFill="background1" w:themeFillShade="D9"/>
            <w:vAlign w:val="center"/>
          </w:tcPr>
          <w:p w:rsidR="002F1337" w:rsidRPr="00AE7477" w:rsidRDefault="002F1337" w:rsidP="00532AF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E7477">
              <w:rPr>
                <w:rFonts w:asciiTheme="minorHAnsi" w:hAnsiTheme="minorHAnsi"/>
                <w:b/>
                <w:sz w:val="22"/>
                <w:szCs w:val="22"/>
              </w:rPr>
              <w:t>If yes, please specify any particular baseline point/year for the measure which is being for performance monitoring purposes</w:t>
            </w:r>
          </w:p>
        </w:tc>
        <w:tc>
          <w:tcPr>
            <w:tcW w:w="539" w:type="dxa"/>
            <w:vAlign w:val="center"/>
          </w:tcPr>
          <w:p w:rsidR="002F1337" w:rsidRPr="00AE7477" w:rsidRDefault="002F1337" w:rsidP="00532AF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2F1337" w:rsidRDefault="002F1337" w:rsidP="002F1337">
      <w:pPr>
        <w:rPr>
          <w:rFonts w:asciiTheme="minorHAnsi" w:hAnsiTheme="minorHAnsi"/>
          <w:sz w:val="22"/>
          <w:szCs w:val="22"/>
        </w:rPr>
      </w:pPr>
    </w:p>
    <w:tbl>
      <w:tblPr>
        <w:tblStyle w:val="TableGrid1"/>
        <w:tblW w:w="106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6521"/>
      </w:tblGrid>
      <w:tr w:rsidR="00C3368E" w:rsidRPr="00DC13FC" w:rsidTr="00F42593">
        <w:tc>
          <w:tcPr>
            <w:tcW w:w="4111" w:type="dxa"/>
            <w:shd w:val="clear" w:color="auto" w:fill="D9D9D9" w:themeFill="background1" w:themeFillShade="D9"/>
          </w:tcPr>
          <w:p w:rsidR="00C3368E" w:rsidRPr="00DC13FC" w:rsidRDefault="00C3368E" w:rsidP="00A261E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C13FC">
              <w:rPr>
                <w:rFonts w:asciiTheme="minorHAnsi" w:hAnsiTheme="minorHAnsi"/>
                <w:b/>
                <w:sz w:val="20"/>
                <w:szCs w:val="20"/>
              </w:rPr>
              <w:t>Technical Assessment Panel</w:t>
            </w:r>
          </w:p>
        </w:tc>
        <w:tc>
          <w:tcPr>
            <w:tcW w:w="6521" w:type="dxa"/>
          </w:tcPr>
          <w:p w:rsidR="00C3368E" w:rsidRPr="00DC13FC" w:rsidRDefault="00C3368E" w:rsidP="00A261E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3368E" w:rsidRPr="00DC13FC" w:rsidTr="00F42593">
        <w:tc>
          <w:tcPr>
            <w:tcW w:w="4111" w:type="dxa"/>
            <w:shd w:val="clear" w:color="auto" w:fill="D9D9D9" w:themeFill="background1" w:themeFillShade="D9"/>
          </w:tcPr>
          <w:p w:rsidR="00C3368E" w:rsidRPr="00DC13FC" w:rsidRDefault="00C3368E" w:rsidP="00A261E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C13FC">
              <w:rPr>
                <w:rFonts w:asciiTheme="minorHAnsi" w:hAnsiTheme="minorHAnsi"/>
                <w:b/>
                <w:sz w:val="20"/>
                <w:szCs w:val="20"/>
              </w:rPr>
              <w:t>Baseline Year</w:t>
            </w:r>
          </w:p>
        </w:tc>
        <w:tc>
          <w:tcPr>
            <w:tcW w:w="6521" w:type="dxa"/>
          </w:tcPr>
          <w:p w:rsidR="00C3368E" w:rsidRPr="00DC13FC" w:rsidRDefault="00C3368E" w:rsidP="00A261E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2015</w:t>
            </w:r>
          </w:p>
        </w:tc>
      </w:tr>
      <w:tr w:rsidR="00C3368E" w:rsidRPr="00DC13FC" w:rsidTr="00F42593">
        <w:trPr>
          <w:trHeight w:val="496"/>
        </w:trPr>
        <w:tc>
          <w:tcPr>
            <w:tcW w:w="4111" w:type="dxa"/>
            <w:shd w:val="clear" w:color="auto" w:fill="D9D9D9" w:themeFill="background1" w:themeFillShade="D9"/>
          </w:tcPr>
          <w:p w:rsidR="00C3368E" w:rsidRPr="00DC13FC" w:rsidRDefault="00C3368E" w:rsidP="00A261E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C13FC">
              <w:rPr>
                <w:rFonts w:asciiTheme="minorHAnsi" w:hAnsiTheme="minorHAnsi"/>
                <w:b/>
                <w:sz w:val="20"/>
                <w:szCs w:val="20"/>
              </w:rPr>
              <w:t>Criteria for reporting change from the baseline</w:t>
            </w:r>
          </w:p>
        </w:tc>
        <w:tc>
          <w:tcPr>
            <w:tcW w:w="6521" w:type="dxa"/>
          </w:tcPr>
          <w:p w:rsidR="00C3368E" w:rsidRPr="00C3368E" w:rsidRDefault="00C3368E" w:rsidP="00C3368E">
            <w:pPr>
              <w:rPr>
                <w:rFonts w:asciiTheme="minorHAnsi" w:hAnsiTheme="minorHAnsi"/>
                <w:sz w:val="20"/>
                <w:szCs w:val="20"/>
              </w:rPr>
            </w:pPr>
            <w:r w:rsidRPr="00C3368E">
              <w:rPr>
                <w:rFonts w:asciiTheme="minorHAnsi" w:hAnsiTheme="minorHAnsi"/>
                <w:sz w:val="20"/>
                <w:szCs w:val="20"/>
              </w:rPr>
              <w:t xml:space="preserve">(a) A statistically significant change in the gap between the weighted average employment rate of the </w:t>
            </w:r>
            <w:r w:rsidR="00DB2897">
              <w:rPr>
                <w:rFonts w:asciiTheme="minorHAnsi" w:hAnsiTheme="minorHAnsi"/>
                <w:sz w:val="20"/>
                <w:szCs w:val="20"/>
              </w:rPr>
              <w:t>highest two</w:t>
            </w:r>
            <w:r w:rsidRPr="00C3368E">
              <w:rPr>
                <w:rFonts w:asciiTheme="minorHAnsi" w:hAnsiTheme="minorHAnsi"/>
                <w:sz w:val="20"/>
                <w:szCs w:val="20"/>
              </w:rPr>
              <w:t xml:space="preserve"> and </w:t>
            </w:r>
            <w:r w:rsidR="00DB2897">
              <w:rPr>
                <w:rFonts w:asciiTheme="minorHAnsi" w:hAnsiTheme="minorHAnsi"/>
                <w:sz w:val="20"/>
                <w:szCs w:val="20"/>
              </w:rPr>
              <w:t>lowest two</w:t>
            </w:r>
            <w:r w:rsidRPr="00C3368E">
              <w:rPr>
                <w:rFonts w:asciiTheme="minorHAnsi" w:hAnsiTheme="minorHAnsi"/>
                <w:sz w:val="20"/>
                <w:szCs w:val="20"/>
              </w:rPr>
              <w:t xml:space="preserve"> Local Government Districts, and</w:t>
            </w:r>
          </w:p>
          <w:p w:rsidR="00C3368E" w:rsidRPr="00DC13FC" w:rsidRDefault="00C3368E" w:rsidP="00C3368E">
            <w:pPr>
              <w:rPr>
                <w:rFonts w:asciiTheme="minorHAnsi" w:hAnsiTheme="minorHAnsi"/>
                <w:sz w:val="20"/>
                <w:szCs w:val="20"/>
              </w:rPr>
            </w:pPr>
            <w:r w:rsidRPr="00C3368E">
              <w:rPr>
                <w:rFonts w:asciiTheme="minorHAnsi" w:hAnsiTheme="minorHAnsi"/>
                <w:sz w:val="20"/>
                <w:szCs w:val="20"/>
              </w:rPr>
              <w:t>(b) The overall Northern Ireland employment rate must not reduce significantly (i.e. must be maintained within a margin of error or increase).</w:t>
            </w:r>
          </w:p>
        </w:tc>
      </w:tr>
    </w:tbl>
    <w:tbl>
      <w:tblPr>
        <w:tblStyle w:val="TableGrid"/>
        <w:tblW w:w="9658" w:type="dxa"/>
        <w:tblLayout w:type="fixed"/>
        <w:tblLook w:val="04A0" w:firstRow="1" w:lastRow="0" w:firstColumn="1" w:lastColumn="0" w:noHBand="0" w:noVBand="1"/>
      </w:tblPr>
      <w:tblGrid>
        <w:gridCol w:w="5387"/>
        <w:gridCol w:w="709"/>
        <w:gridCol w:w="3562"/>
      </w:tblGrid>
      <w:tr w:rsidR="002F1337" w:rsidRPr="00AE7477" w:rsidTr="00DB2897">
        <w:trPr>
          <w:trHeight w:val="357"/>
        </w:trPr>
        <w:tc>
          <w:tcPr>
            <w:tcW w:w="5387" w:type="dxa"/>
            <w:shd w:val="clear" w:color="auto" w:fill="auto"/>
            <w:vAlign w:val="center"/>
          </w:tcPr>
          <w:p w:rsidR="00F42593" w:rsidRPr="00F42593" w:rsidRDefault="00F42593" w:rsidP="00532AF1">
            <w:pPr>
              <w:rPr>
                <w:rFonts w:asciiTheme="minorHAnsi" w:hAnsiTheme="minorHAnsi"/>
                <w:b/>
                <w:sz w:val="20"/>
                <w:szCs w:val="22"/>
              </w:rPr>
            </w:pPr>
          </w:p>
          <w:p w:rsidR="002F1337" w:rsidRPr="00F42593" w:rsidRDefault="00532AF1" w:rsidP="00532AF1">
            <w:pPr>
              <w:rPr>
                <w:rFonts w:asciiTheme="minorHAnsi" w:hAnsiTheme="minorHAnsi"/>
                <w:b/>
                <w:sz w:val="20"/>
                <w:szCs w:val="22"/>
              </w:rPr>
            </w:pPr>
            <w:r w:rsidRPr="00F42593">
              <w:rPr>
                <w:rFonts w:asciiTheme="minorHAnsi" w:hAnsiTheme="minorHAnsi"/>
                <w:b/>
                <w:sz w:val="20"/>
                <w:szCs w:val="22"/>
              </w:rPr>
              <w:t>Available groupings*</w:t>
            </w:r>
          </w:p>
        </w:tc>
        <w:tc>
          <w:tcPr>
            <w:tcW w:w="709" w:type="dxa"/>
            <w:vAlign w:val="center"/>
          </w:tcPr>
          <w:p w:rsidR="002F1337" w:rsidRPr="00F42593" w:rsidRDefault="002F1337" w:rsidP="00532AF1">
            <w:pPr>
              <w:rPr>
                <w:rFonts w:asciiTheme="minorHAnsi" w:hAnsiTheme="minorHAnsi"/>
                <w:b/>
                <w:sz w:val="20"/>
                <w:szCs w:val="22"/>
              </w:rPr>
            </w:pPr>
            <w:r w:rsidRPr="00F42593">
              <w:rPr>
                <w:rFonts w:asciiTheme="minorHAnsi" w:hAnsiTheme="minorHAnsi"/>
                <w:b/>
                <w:sz w:val="20"/>
                <w:szCs w:val="22"/>
              </w:rPr>
              <w:t>Yes/No</w:t>
            </w:r>
          </w:p>
        </w:tc>
        <w:tc>
          <w:tcPr>
            <w:tcW w:w="3562" w:type="dxa"/>
            <w:vAlign w:val="center"/>
          </w:tcPr>
          <w:p w:rsidR="002F1337" w:rsidRPr="00F42593" w:rsidRDefault="002F1337" w:rsidP="00532AF1">
            <w:pPr>
              <w:rPr>
                <w:rFonts w:asciiTheme="minorHAnsi" w:hAnsiTheme="minorHAnsi"/>
                <w:b/>
                <w:sz w:val="20"/>
                <w:szCs w:val="22"/>
              </w:rPr>
            </w:pPr>
            <w:r w:rsidRPr="00F42593">
              <w:rPr>
                <w:rFonts w:asciiTheme="minorHAnsi" w:hAnsiTheme="minorHAnsi"/>
                <w:b/>
                <w:sz w:val="20"/>
                <w:szCs w:val="22"/>
              </w:rPr>
              <w:t>Notes</w:t>
            </w:r>
          </w:p>
        </w:tc>
      </w:tr>
      <w:tr w:rsidR="00532AF1" w:rsidRPr="00AE7477" w:rsidTr="00F42593">
        <w:trPr>
          <w:trHeight w:val="340"/>
        </w:trPr>
        <w:tc>
          <w:tcPr>
            <w:tcW w:w="5387" w:type="dxa"/>
            <w:shd w:val="clear" w:color="auto" w:fill="D9D9D9" w:themeFill="background1" w:themeFillShade="D9"/>
            <w:vAlign w:val="center"/>
          </w:tcPr>
          <w:p w:rsidR="00532AF1" w:rsidRPr="00F42593" w:rsidRDefault="00532AF1" w:rsidP="001E6913">
            <w:pPr>
              <w:rPr>
                <w:rFonts w:asciiTheme="minorHAnsi" w:hAnsiTheme="minorHAnsi"/>
                <w:b/>
                <w:sz w:val="20"/>
                <w:szCs w:val="22"/>
              </w:rPr>
            </w:pPr>
            <w:r w:rsidRPr="00F42593">
              <w:rPr>
                <w:rFonts w:asciiTheme="minorHAnsi" w:hAnsiTheme="minorHAnsi"/>
                <w:b/>
                <w:sz w:val="20"/>
                <w:szCs w:val="22"/>
              </w:rPr>
              <w:t xml:space="preserve"> NI Level</w:t>
            </w:r>
          </w:p>
        </w:tc>
        <w:tc>
          <w:tcPr>
            <w:tcW w:w="709" w:type="dxa"/>
            <w:vAlign w:val="center"/>
          </w:tcPr>
          <w:p w:rsidR="00532AF1" w:rsidRPr="00F42593" w:rsidRDefault="00532AF1" w:rsidP="00532AF1">
            <w:pPr>
              <w:rPr>
                <w:rFonts w:asciiTheme="minorHAnsi" w:hAnsiTheme="minorHAnsi"/>
                <w:sz w:val="20"/>
                <w:szCs w:val="22"/>
              </w:rPr>
            </w:pPr>
            <w:r w:rsidRPr="00F42593">
              <w:rPr>
                <w:rFonts w:asciiTheme="minorHAnsi" w:hAnsiTheme="minorHAnsi"/>
                <w:sz w:val="20"/>
                <w:szCs w:val="22"/>
              </w:rPr>
              <w:t>Yes</w:t>
            </w:r>
          </w:p>
        </w:tc>
        <w:tc>
          <w:tcPr>
            <w:tcW w:w="3562" w:type="dxa"/>
            <w:vAlign w:val="center"/>
          </w:tcPr>
          <w:p w:rsidR="00532AF1" w:rsidRPr="00F42593" w:rsidRDefault="00532AF1" w:rsidP="00532AF1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</w:tr>
      <w:tr w:rsidR="00532AF1" w:rsidRPr="00AE7477" w:rsidTr="00F42593">
        <w:trPr>
          <w:trHeight w:val="340"/>
        </w:trPr>
        <w:tc>
          <w:tcPr>
            <w:tcW w:w="5387" w:type="dxa"/>
            <w:shd w:val="clear" w:color="auto" w:fill="D9D9D9" w:themeFill="background1" w:themeFillShade="D9"/>
            <w:vAlign w:val="center"/>
          </w:tcPr>
          <w:p w:rsidR="00532AF1" w:rsidRPr="00F42593" w:rsidRDefault="00532AF1" w:rsidP="001E6913">
            <w:pPr>
              <w:rPr>
                <w:rFonts w:asciiTheme="minorHAnsi" w:hAnsiTheme="minorHAnsi"/>
                <w:b/>
                <w:sz w:val="20"/>
                <w:szCs w:val="22"/>
              </w:rPr>
            </w:pPr>
            <w:r w:rsidRPr="00F42593">
              <w:rPr>
                <w:rFonts w:asciiTheme="minorHAnsi" w:hAnsiTheme="minorHAnsi"/>
                <w:b/>
                <w:sz w:val="20"/>
                <w:szCs w:val="22"/>
              </w:rPr>
              <w:t>Parliamentary Constituency level</w:t>
            </w:r>
          </w:p>
        </w:tc>
        <w:tc>
          <w:tcPr>
            <w:tcW w:w="709" w:type="dxa"/>
            <w:vAlign w:val="center"/>
          </w:tcPr>
          <w:p w:rsidR="00532AF1" w:rsidRPr="00F42593" w:rsidRDefault="0083200C" w:rsidP="00532AF1">
            <w:pPr>
              <w:rPr>
                <w:rFonts w:asciiTheme="minorHAnsi" w:hAnsiTheme="minorHAnsi"/>
                <w:sz w:val="20"/>
                <w:szCs w:val="22"/>
              </w:rPr>
            </w:pPr>
            <w:r w:rsidRPr="00F42593">
              <w:rPr>
                <w:rFonts w:asciiTheme="minorHAnsi" w:hAnsiTheme="minorHAnsi"/>
                <w:sz w:val="20"/>
                <w:szCs w:val="22"/>
              </w:rPr>
              <w:t>Yes</w:t>
            </w:r>
          </w:p>
        </w:tc>
        <w:tc>
          <w:tcPr>
            <w:tcW w:w="3562" w:type="dxa"/>
            <w:vAlign w:val="center"/>
          </w:tcPr>
          <w:p w:rsidR="00532AF1" w:rsidRPr="00F42593" w:rsidRDefault="00532AF1" w:rsidP="00532AF1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</w:tr>
      <w:tr w:rsidR="00532AF1" w:rsidRPr="00AE7477" w:rsidTr="00F42593">
        <w:trPr>
          <w:trHeight w:val="340"/>
        </w:trPr>
        <w:tc>
          <w:tcPr>
            <w:tcW w:w="5387" w:type="dxa"/>
            <w:shd w:val="clear" w:color="auto" w:fill="D9D9D9" w:themeFill="background1" w:themeFillShade="D9"/>
            <w:vAlign w:val="center"/>
          </w:tcPr>
          <w:p w:rsidR="00532AF1" w:rsidRPr="00F42593" w:rsidRDefault="00A95EBF" w:rsidP="001E6913">
            <w:pPr>
              <w:rPr>
                <w:rFonts w:asciiTheme="minorHAnsi" w:hAnsiTheme="minorHAnsi"/>
                <w:b/>
                <w:sz w:val="20"/>
                <w:szCs w:val="22"/>
              </w:rPr>
            </w:pPr>
            <w:r w:rsidRPr="00F42593">
              <w:rPr>
                <w:rFonts w:asciiTheme="minorHAnsi" w:hAnsiTheme="minorHAnsi"/>
                <w:b/>
                <w:sz w:val="20"/>
                <w:szCs w:val="22"/>
              </w:rPr>
              <w:t>Local Government District (2014) level</w:t>
            </w:r>
          </w:p>
        </w:tc>
        <w:tc>
          <w:tcPr>
            <w:tcW w:w="709" w:type="dxa"/>
            <w:vAlign w:val="center"/>
          </w:tcPr>
          <w:p w:rsidR="00532AF1" w:rsidRPr="00F42593" w:rsidRDefault="00532AF1" w:rsidP="00532AF1">
            <w:pPr>
              <w:rPr>
                <w:rFonts w:asciiTheme="minorHAnsi" w:hAnsiTheme="minorHAnsi"/>
                <w:sz w:val="20"/>
                <w:szCs w:val="22"/>
              </w:rPr>
            </w:pPr>
            <w:r w:rsidRPr="00F42593">
              <w:rPr>
                <w:rFonts w:asciiTheme="minorHAnsi" w:hAnsiTheme="minorHAnsi"/>
                <w:sz w:val="20"/>
                <w:szCs w:val="22"/>
              </w:rPr>
              <w:t>Yes</w:t>
            </w:r>
          </w:p>
        </w:tc>
        <w:tc>
          <w:tcPr>
            <w:tcW w:w="3562" w:type="dxa"/>
            <w:vAlign w:val="center"/>
          </w:tcPr>
          <w:p w:rsidR="00532AF1" w:rsidRPr="00F42593" w:rsidRDefault="00A125E6" w:rsidP="00A125E6">
            <w:pPr>
              <w:rPr>
                <w:rFonts w:asciiTheme="minorHAnsi" w:hAnsiTheme="minorHAnsi"/>
                <w:sz w:val="20"/>
                <w:szCs w:val="22"/>
              </w:rPr>
            </w:pPr>
            <w:r w:rsidRPr="00F42593">
              <w:rPr>
                <w:rFonts w:asciiTheme="minorHAnsi" w:hAnsiTheme="minorHAnsi"/>
                <w:sz w:val="20"/>
                <w:szCs w:val="22"/>
              </w:rPr>
              <w:t>Covered by population level output</w:t>
            </w:r>
          </w:p>
        </w:tc>
      </w:tr>
      <w:tr w:rsidR="00532AF1" w:rsidRPr="00AE7477" w:rsidTr="00F42593">
        <w:trPr>
          <w:trHeight w:val="340"/>
        </w:trPr>
        <w:tc>
          <w:tcPr>
            <w:tcW w:w="5387" w:type="dxa"/>
            <w:shd w:val="clear" w:color="auto" w:fill="D9D9D9" w:themeFill="background1" w:themeFillShade="D9"/>
            <w:vAlign w:val="center"/>
          </w:tcPr>
          <w:p w:rsidR="00532AF1" w:rsidRPr="00F42593" w:rsidRDefault="00532AF1" w:rsidP="001E6913">
            <w:pPr>
              <w:rPr>
                <w:rFonts w:asciiTheme="minorHAnsi" w:hAnsiTheme="minorHAnsi"/>
                <w:b/>
                <w:sz w:val="20"/>
                <w:szCs w:val="22"/>
              </w:rPr>
            </w:pPr>
            <w:r w:rsidRPr="00F42593">
              <w:rPr>
                <w:rFonts w:asciiTheme="minorHAnsi" w:hAnsiTheme="minorHAnsi"/>
                <w:b/>
                <w:sz w:val="20"/>
                <w:szCs w:val="22"/>
              </w:rPr>
              <w:t>Deprivation Quintile</w:t>
            </w:r>
          </w:p>
        </w:tc>
        <w:tc>
          <w:tcPr>
            <w:tcW w:w="709" w:type="dxa"/>
            <w:vAlign w:val="center"/>
          </w:tcPr>
          <w:p w:rsidR="00532AF1" w:rsidRPr="00F42593" w:rsidRDefault="0083200C" w:rsidP="00532AF1">
            <w:pPr>
              <w:rPr>
                <w:rFonts w:asciiTheme="minorHAnsi" w:hAnsiTheme="minorHAnsi"/>
                <w:sz w:val="20"/>
                <w:szCs w:val="22"/>
              </w:rPr>
            </w:pPr>
            <w:r w:rsidRPr="00F42593">
              <w:rPr>
                <w:rFonts w:asciiTheme="minorHAnsi" w:hAnsiTheme="minorHAnsi"/>
                <w:sz w:val="20"/>
                <w:szCs w:val="22"/>
              </w:rPr>
              <w:t>Yes</w:t>
            </w:r>
          </w:p>
        </w:tc>
        <w:tc>
          <w:tcPr>
            <w:tcW w:w="3562" w:type="dxa"/>
            <w:vAlign w:val="center"/>
          </w:tcPr>
          <w:p w:rsidR="00532AF1" w:rsidRPr="00F42593" w:rsidRDefault="00AE7477" w:rsidP="00532AF1">
            <w:pPr>
              <w:rPr>
                <w:rFonts w:asciiTheme="minorHAnsi" w:hAnsiTheme="minorHAnsi"/>
                <w:sz w:val="20"/>
                <w:szCs w:val="22"/>
              </w:rPr>
            </w:pPr>
            <w:r w:rsidRPr="00F42593">
              <w:rPr>
                <w:rFonts w:asciiTheme="minorHAnsi" w:hAnsiTheme="minorHAnsi"/>
                <w:sz w:val="20"/>
                <w:szCs w:val="22"/>
              </w:rPr>
              <w:t>Also covered in PfG32</w:t>
            </w:r>
          </w:p>
        </w:tc>
      </w:tr>
      <w:tr w:rsidR="00532AF1" w:rsidRPr="00AE7477" w:rsidTr="00F42593">
        <w:trPr>
          <w:trHeight w:val="340"/>
        </w:trPr>
        <w:tc>
          <w:tcPr>
            <w:tcW w:w="5387" w:type="dxa"/>
            <w:shd w:val="clear" w:color="auto" w:fill="D9D9D9" w:themeFill="background1" w:themeFillShade="D9"/>
            <w:vAlign w:val="center"/>
          </w:tcPr>
          <w:p w:rsidR="00532AF1" w:rsidRPr="00F42593" w:rsidRDefault="00532AF1" w:rsidP="001E6913">
            <w:pPr>
              <w:rPr>
                <w:rFonts w:asciiTheme="minorHAnsi" w:hAnsiTheme="minorHAnsi"/>
                <w:b/>
                <w:sz w:val="20"/>
                <w:szCs w:val="22"/>
              </w:rPr>
            </w:pPr>
            <w:r w:rsidRPr="00F42593">
              <w:rPr>
                <w:rFonts w:asciiTheme="minorHAnsi" w:hAnsiTheme="minorHAnsi"/>
                <w:b/>
                <w:sz w:val="20"/>
                <w:szCs w:val="22"/>
              </w:rPr>
              <w:t xml:space="preserve">NISRA Geography Urban/Rural Measure </w:t>
            </w:r>
          </w:p>
        </w:tc>
        <w:tc>
          <w:tcPr>
            <w:tcW w:w="709" w:type="dxa"/>
            <w:vAlign w:val="center"/>
          </w:tcPr>
          <w:p w:rsidR="00532AF1" w:rsidRPr="00F42593" w:rsidRDefault="00532AF1" w:rsidP="00532AF1">
            <w:pPr>
              <w:rPr>
                <w:rFonts w:asciiTheme="minorHAnsi" w:hAnsiTheme="minorHAnsi"/>
                <w:sz w:val="20"/>
                <w:szCs w:val="22"/>
              </w:rPr>
            </w:pPr>
            <w:r w:rsidRPr="00F42593">
              <w:rPr>
                <w:rFonts w:asciiTheme="minorHAnsi" w:hAnsiTheme="minorHAnsi"/>
                <w:sz w:val="20"/>
                <w:szCs w:val="22"/>
              </w:rPr>
              <w:t>Yes</w:t>
            </w:r>
          </w:p>
        </w:tc>
        <w:tc>
          <w:tcPr>
            <w:tcW w:w="3562" w:type="dxa"/>
            <w:vAlign w:val="center"/>
          </w:tcPr>
          <w:p w:rsidR="00532AF1" w:rsidRPr="00F42593" w:rsidRDefault="00532AF1" w:rsidP="00532AF1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</w:tr>
      <w:tr w:rsidR="00532AF1" w:rsidRPr="00AE7477" w:rsidTr="00F42593">
        <w:trPr>
          <w:trHeight w:val="340"/>
        </w:trPr>
        <w:tc>
          <w:tcPr>
            <w:tcW w:w="5387" w:type="dxa"/>
            <w:shd w:val="clear" w:color="auto" w:fill="D9D9D9" w:themeFill="background1" w:themeFillShade="D9"/>
            <w:vAlign w:val="center"/>
          </w:tcPr>
          <w:p w:rsidR="00532AF1" w:rsidRPr="00F42593" w:rsidRDefault="00532AF1" w:rsidP="001E6913">
            <w:pPr>
              <w:rPr>
                <w:rFonts w:asciiTheme="minorHAnsi" w:hAnsiTheme="minorHAnsi"/>
                <w:b/>
                <w:sz w:val="20"/>
                <w:szCs w:val="22"/>
              </w:rPr>
            </w:pPr>
            <w:r w:rsidRPr="00F42593">
              <w:rPr>
                <w:rFonts w:asciiTheme="minorHAnsi" w:hAnsiTheme="minorHAnsi"/>
                <w:b/>
                <w:sz w:val="20"/>
                <w:szCs w:val="22"/>
              </w:rPr>
              <w:t>Gender</w:t>
            </w:r>
          </w:p>
        </w:tc>
        <w:tc>
          <w:tcPr>
            <w:tcW w:w="709" w:type="dxa"/>
            <w:vAlign w:val="center"/>
          </w:tcPr>
          <w:p w:rsidR="00532AF1" w:rsidRPr="00F42593" w:rsidRDefault="00532AF1" w:rsidP="00532AF1">
            <w:pPr>
              <w:rPr>
                <w:rFonts w:asciiTheme="minorHAnsi" w:hAnsiTheme="minorHAnsi"/>
                <w:sz w:val="20"/>
                <w:szCs w:val="22"/>
              </w:rPr>
            </w:pPr>
            <w:r w:rsidRPr="00F42593">
              <w:rPr>
                <w:rFonts w:asciiTheme="minorHAnsi" w:hAnsiTheme="minorHAnsi"/>
                <w:sz w:val="20"/>
                <w:szCs w:val="22"/>
              </w:rPr>
              <w:t>Yes</w:t>
            </w:r>
          </w:p>
        </w:tc>
        <w:tc>
          <w:tcPr>
            <w:tcW w:w="3562" w:type="dxa"/>
            <w:vAlign w:val="center"/>
          </w:tcPr>
          <w:p w:rsidR="00532AF1" w:rsidRPr="00F42593" w:rsidRDefault="00532AF1" w:rsidP="00532AF1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</w:tr>
      <w:tr w:rsidR="00532AF1" w:rsidRPr="00AE7477" w:rsidTr="00F42593">
        <w:trPr>
          <w:trHeight w:val="340"/>
        </w:trPr>
        <w:tc>
          <w:tcPr>
            <w:tcW w:w="5387" w:type="dxa"/>
            <w:shd w:val="clear" w:color="auto" w:fill="D9D9D9" w:themeFill="background1" w:themeFillShade="D9"/>
            <w:vAlign w:val="center"/>
          </w:tcPr>
          <w:p w:rsidR="00532AF1" w:rsidRPr="00F42593" w:rsidRDefault="00532AF1" w:rsidP="001E6913">
            <w:pPr>
              <w:rPr>
                <w:rFonts w:asciiTheme="minorHAnsi" w:hAnsiTheme="minorHAnsi"/>
                <w:sz w:val="20"/>
                <w:szCs w:val="22"/>
              </w:rPr>
            </w:pPr>
            <w:r w:rsidRPr="00F42593">
              <w:rPr>
                <w:rFonts w:asciiTheme="minorHAnsi" w:hAnsiTheme="minorHAnsi"/>
                <w:b/>
                <w:sz w:val="20"/>
                <w:szCs w:val="22"/>
              </w:rPr>
              <w:t>Age</w:t>
            </w:r>
          </w:p>
        </w:tc>
        <w:tc>
          <w:tcPr>
            <w:tcW w:w="709" w:type="dxa"/>
            <w:vAlign w:val="center"/>
          </w:tcPr>
          <w:p w:rsidR="00532AF1" w:rsidRPr="00F42593" w:rsidRDefault="00532AF1" w:rsidP="00532AF1">
            <w:pPr>
              <w:rPr>
                <w:rFonts w:asciiTheme="minorHAnsi" w:hAnsiTheme="minorHAnsi"/>
                <w:sz w:val="20"/>
                <w:szCs w:val="22"/>
              </w:rPr>
            </w:pPr>
            <w:r w:rsidRPr="00F42593">
              <w:rPr>
                <w:rFonts w:asciiTheme="minorHAnsi" w:hAnsiTheme="minorHAnsi"/>
                <w:sz w:val="20"/>
                <w:szCs w:val="22"/>
              </w:rPr>
              <w:t>Yes</w:t>
            </w:r>
          </w:p>
        </w:tc>
        <w:tc>
          <w:tcPr>
            <w:tcW w:w="3562" w:type="dxa"/>
            <w:vAlign w:val="center"/>
          </w:tcPr>
          <w:p w:rsidR="00532AF1" w:rsidRPr="00F42593" w:rsidRDefault="00532AF1" w:rsidP="00532AF1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</w:tr>
      <w:tr w:rsidR="00532AF1" w:rsidRPr="00AE7477" w:rsidTr="00F42593">
        <w:trPr>
          <w:trHeight w:val="340"/>
        </w:trPr>
        <w:tc>
          <w:tcPr>
            <w:tcW w:w="5387" w:type="dxa"/>
            <w:shd w:val="clear" w:color="auto" w:fill="D9D9D9" w:themeFill="background1" w:themeFillShade="D9"/>
            <w:vAlign w:val="center"/>
          </w:tcPr>
          <w:p w:rsidR="00532AF1" w:rsidRPr="00F42593" w:rsidRDefault="00532AF1" w:rsidP="001E6913">
            <w:pPr>
              <w:rPr>
                <w:rFonts w:asciiTheme="minorHAnsi" w:hAnsiTheme="minorHAnsi"/>
                <w:sz w:val="20"/>
                <w:szCs w:val="22"/>
              </w:rPr>
            </w:pPr>
            <w:r w:rsidRPr="00F42593">
              <w:rPr>
                <w:rFonts w:asciiTheme="minorHAnsi" w:hAnsiTheme="minorHAnsi"/>
                <w:b/>
                <w:sz w:val="20"/>
                <w:szCs w:val="22"/>
              </w:rPr>
              <w:t>Marital Status</w:t>
            </w:r>
          </w:p>
        </w:tc>
        <w:tc>
          <w:tcPr>
            <w:tcW w:w="709" w:type="dxa"/>
            <w:vAlign w:val="center"/>
          </w:tcPr>
          <w:p w:rsidR="00532AF1" w:rsidRPr="00F42593" w:rsidRDefault="00532AF1" w:rsidP="00532AF1">
            <w:pPr>
              <w:rPr>
                <w:rFonts w:asciiTheme="minorHAnsi" w:hAnsiTheme="minorHAnsi"/>
                <w:sz w:val="20"/>
                <w:szCs w:val="22"/>
              </w:rPr>
            </w:pPr>
            <w:r w:rsidRPr="00F42593">
              <w:rPr>
                <w:rFonts w:asciiTheme="minorHAnsi" w:hAnsiTheme="minorHAnsi"/>
                <w:sz w:val="20"/>
                <w:szCs w:val="22"/>
              </w:rPr>
              <w:t>Yes</w:t>
            </w:r>
          </w:p>
        </w:tc>
        <w:tc>
          <w:tcPr>
            <w:tcW w:w="3562" w:type="dxa"/>
            <w:vAlign w:val="center"/>
          </w:tcPr>
          <w:p w:rsidR="00532AF1" w:rsidRPr="00F42593" w:rsidRDefault="00532AF1" w:rsidP="00532AF1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</w:tr>
      <w:tr w:rsidR="00532AF1" w:rsidRPr="00AE7477" w:rsidTr="00F42593">
        <w:trPr>
          <w:trHeight w:val="340"/>
        </w:trPr>
        <w:tc>
          <w:tcPr>
            <w:tcW w:w="5387" w:type="dxa"/>
            <w:shd w:val="clear" w:color="auto" w:fill="D9D9D9" w:themeFill="background1" w:themeFillShade="D9"/>
            <w:vAlign w:val="center"/>
          </w:tcPr>
          <w:p w:rsidR="00532AF1" w:rsidRPr="00F42593" w:rsidRDefault="00532AF1" w:rsidP="001E6913">
            <w:pPr>
              <w:rPr>
                <w:rFonts w:asciiTheme="minorHAnsi" w:hAnsiTheme="minorHAnsi"/>
                <w:sz w:val="20"/>
                <w:szCs w:val="22"/>
              </w:rPr>
            </w:pPr>
            <w:r w:rsidRPr="00F42593">
              <w:rPr>
                <w:rFonts w:asciiTheme="minorHAnsi" w:hAnsiTheme="minorHAnsi"/>
                <w:b/>
                <w:sz w:val="20"/>
                <w:szCs w:val="22"/>
              </w:rPr>
              <w:t>Religion</w:t>
            </w:r>
          </w:p>
        </w:tc>
        <w:tc>
          <w:tcPr>
            <w:tcW w:w="709" w:type="dxa"/>
            <w:vAlign w:val="center"/>
          </w:tcPr>
          <w:p w:rsidR="00532AF1" w:rsidRPr="00F42593" w:rsidRDefault="00532AF1" w:rsidP="00532AF1">
            <w:pPr>
              <w:rPr>
                <w:rFonts w:asciiTheme="minorHAnsi" w:hAnsiTheme="minorHAnsi"/>
                <w:sz w:val="20"/>
                <w:szCs w:val="22"/>
              </w:rPr>
            </w:pPr>
            <w:r w:rsidRPr="00F42593">
              <w:rPr>
                <w:rFonts w:asciiTheme="minorHAnsi" w:hAnsiTheme="minorHAnsi"/>
                <w:sz w:val="20"/>
                <w:szCs w:val="22"/>
              </w:rPr>
              <w:t>Yes</w:t>
            </w:r>
          </w:p>
        </w:tc>
        <w:tc>
          <w:tcPr>
            <w:tcW w:w="3562" w:type="dxa"/>
            <w:vAlign w:val="center"/>
          </w:tcPr>
          <w:p w:rsidR="00532AF1" w:rsidRPr="00F42593" w:rsidRDefault="00532AF1" w:rsidP="00532AF1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</w:tr>
      <w:tr w:rsidR="00532AF1" w:rsidRPr="00AE7477" w:rsidTr="00F42593">
        <w:trPr>
          <w:trHeight w:val="340"/>
        </w:trPr>
        <w:tc>
          <w:tcPr>
            <w:tcW w:w="5387" w:type="dxa"/>
            <w:shd w:val="clear" w:color="auto" w:fill="D9D9D9" w:themeFill="background1" w:themeFillShade="D9"/>
            <w:vAlign w:val="center"/>
          </w:tcPr>
          <w:p w:rsidR="00532AF1" w:rsidRPr="00F42593" w:rsidRDefault="00532AF1" w:rsidP="001E6913">
            <w:pPr>
              <w:rPr>
                <w:rFonts w:asciiTheme="minorHAnsi" w:hAnsiTheme="minorHAnsi"/>
                <w:sz w:val="20"/>
                <w:szCs w:val="22"/>
              </w:rPr>
            </w:pPr>
            <w:r w:rsidRPr="00F42593">
              <w:rPr>
                <w:rFonts w:asciiTheme="minorHAnsi" w:hAnsiTheme="minorHAnsi"/>
                <w:b/>
                <w:sz w:val="20"/>
                <w:szCs w:val="22"/>
              </w:rPr>
              <w:t>Political Opinion</w:t>
            </w:r>
          </w:p>
        </w:tc>
        <w:tc>
          <w:tcPr>
            <w:tcW w:w="709" w:type="dxa"/>
            <w:vAlign w:val="center"/>
          </w:tcPr>
          <w:p w:rsidR="00532AF1" w:rsidRPr="00F42593" w:rsidRDefault="00532AF1" w:rsidP="00532AF1">
            <w:pPr>
              <w:rPr>
                <w:rFonts w:asciiTheme="minorHAnsi" w:hAnsiTheme="minorHAnsi"/>
                <w:sz w:val="20"/>
                <w:szCs w:val="22"/>
              </w:rPr>
            </w:pPr>
            <w:r w:rsidRPr="00F42593">
              <w:rPr>
                <w:rFonts w:asciiTheme="minorHAnsi" w:hAnsiTheme="minorHAnsi"/>
                <w:sz w:val="20"/>
                <w:szCs w:val="22"/>
              </w:rPr>
              <w:t>No</w:t>
            </w:r>
          </w:p>
        </w:tc>
        <w:tc>
          <w:tcPr>
            <w:tcW w:w="3562" w:type="dxa"/>
            <w:vAlign w:val="center"/>
          </w:tcPr>
          <w:p w:rsidR="00532AF1" w:rsidRPr="00F42593" w:rsidRDefault="00532AF1" w:rsidP="00532AF1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</w:tr>
      <w:tr w:rsidR="00532AF1" w:rsidRPr="00AE7477" w:rsidTr="00F42593">
        <w:trPr>
          <w:trHeight w:val="340"/>
        </w:trPr>
        <w:tc>
          <w:tcPr>
            <w:tcW w:w="5387" w:type="dxa"/>
            <w:shd w:val="clear" w:color="auto" w:fill="D9D9D9" w:themeFill="background1" w:themeFillShade="D9"/>
            <w:vAlign w:val="center"/>
          </w:tcPr>
          <w:p w:rsidR="00532AF1" w:rsidRPr="00F42593" w:rsidRDefault="00532AF1" w:rsidP="001E6913">
            <w:pPr>
              <w:rPr>
                <w:rFonts w:asciiTheme="minorHAnsi" w:hAnsiTheme="minorHAnsi"/>
                <w:sz w:val="20"/>
                <w:szCs w:val="22"/>
              </w:rPr>
            </w:pPr>
            <w:r w:rsidRPr="00F42593">
              <w:rPr>
                <w:rFonts w:asciiTheme="minorHAnsi" w:hAnsiTheme="minorHAnsi"/>
                <w:b/>
                <w:sz w:val="20"/>
                <w:szCs w:val="22"/>
              </w:rPr>
              <w:t>Disability</w:t>
            </w:r>
          </w:p>
        </w:tc>
        <w:tc>
          <w:tcPr>
            <w:tcW w:w="709" w:type="dxa"/>
            <w:vAlign w:val="center"/>
          </w:tcPr>
          <w:p w:rsidR="00532AF1" w:rsidRPr="00F42593" w:rsidRDefault="00532AF1" w:rsidP="00532AF1">
            <w:pPr>
              <w:rPr>
                <w:rFonts w:asciiTheme="minorHAnsi" w:hAnsiTheme="minorHAnsi"/>
                <w:sz w:val="20"/>
                <w:szCs w:val="22"/>
              </w:rPr>
            </w:pPr>
            <w:r w:rsidRPr="00F42593">
              <w:rPr>
                <w:rFonts w:asciiTheme="minorHAnsi" w:hAnsiTheme="minorHAnsi"/>
                <w:sz w:val="20"/>
                <w:szCs w:val="22"/>
              </w:rPr>
              <w:t>Yes</w:t>
            </w:r>
          </w:p>
        </w:tc>
        <w:tc>
          <w:tcPr>
            <w:tcW w:w="3562" w:type="dxa"/>
            <w:vAlign w:val="center"/>
          </w:tcPr>
          <w:p w:rsidR="00532AF1" w:rsidRPr="00F42593" w:rsidRDefault="00532AF1" w:rsidP="00532AF1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</w:tr>
      <w:tr w:rsidR="00532AF1" w:rsidRPr="00AE7477" w:rsidTr="00F42593">
        <w:trPr>
          <w:trHeight w:val="340"/>
        </w:trPr>
        <w:tc>
          <w:tcPr>
            <w:tcW w:w="5387" w:type="dxa"/>
            <w:shd w:val="clear" w:color="auto" w:fill="D9D9D9" w:themeFill="background1" w:themeFillShade="D9"/>
            <w:vAlign w:val="center"/>
          </w:tcPr>
          <w:p w:rsidR="00532AF1" w:rsidRPr="00F42593" w:rsidRDefault="00532AF1" w:rsidP="001E6913">
            <w:pPr>
              <w:rPr>
                <w:rFonts w:asciiTheme="minorHAnsi" w:hAnsiTheme="minorHAnsi"/>
                <w:sz w:val="20"/>
                <w:szCs w:val="22"/>
              </w:rPr>
            </w:pPr>
            <w:r w:rsidRPr="00F42593">
              <w:rPr>
                <w:rFonts w:asciiTheme="minorHAnsi" w:hAnsiTheme="minorHAnsi"/>
                <w:b/>
                <w:sz w:val="20"/>
                <w:szCs w:val="22"/>
              </w:rPr>
              <w:t>Dependants</w:t>
            </w:r>
          </w:p>
        </w:tc>
        <w:tc>
          <w:tcPr>
            <w:tcW w:w="709" w:type="dxa"/>
            <w:vAlign w:val="center"/>
          </w:tcPr>
          <w:p w:rsidR="00532AF1" w:rsidRPr="00F42593" w:rsidRDefault="00532AF1" w:rsidP="00532AF1">
            <w:pPr>
              <w:rPr>
                <w:rFonts w:asciiTheme="minorHAnsi" w:hAnsiTheme="minorHAnsi"/>
                <w:sz w:val="20"/>
                <w:szCs w:val="22"/>
              </w:rPr>
            </w:pPr>
            <w:r w:rsidRPr="00F42593">
              <w:rPr>
                <w:rFonts w:asciiTheme="minorHAnsi" w:hAnsiTheme="minorHAnsi"/>
                <w:sz w:val="20"/>
                <w:szCs w:val="22"/>
              </w:rPr>
              <w:t>Yes</w:t>
            </w:r>
          </w:p>
        </w:tc>
        <w:tc>
          <w:tcPr>
            <w:tcW w:w="3562" w:type="dxa"/>
            <w:vAlign w:val="center"/>
          </w:tcPr>
          <w:p w:rsidR="00532AF1" w:rsidRPr="00F42593" w:rsidRDefault="00532AF1" w:rsidP="00532AF1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</w:tr>
      <w:tr w:rsidR="00532AF1" w:rsidRPr="00AE7477" w:rsidTr="00F42593">
        <w:trPr>
          <w:trHeight w:val="483"/>
        </w:trPr>
        <w:tc>
          <w:tcPr>
            <w:tcW w:w="5387" w:type="dxa"/>
            <w:shd w:val="clear" w:color="auto" w:fill="D9D9D9" w:themeFill="background1" w:themeFillShade="D9"/>
            <w:vAlign w:val="center"/>
          </w:tcPr>
          <w:p w:rsidR="00532AF1" w:rsidRPr="00F42593" w:rsidRDefault="00532AF1" w:rsidP="001E6913">
            <w:pPr>
              <w:rPr>
                <w:rFonts w:asciiTheme="minorHAnsi" w:hAnsiTheme="minorHAnsi"/>
                <w:sz w:val="20"/>
                <w:szCs w:val="22"/>
              </w:rPr>
            </w:pPr>
            <w:r w:rsidRPr="00F42593">
              <w:rPr>
                <w:rFonts w:asciiTheme="minorHAnsi" w:hAnsiTheme="minorHAnsi"/>
                <w:b/>
                <w:sz w:val="20"/>
                <w:szCs w:val="22"/>
              </w:rPr>
              <w:t>Sexual Orientation</w:t>
            </w:r>
          </w:p>
        </w:tc>
        <w:tc>
          <w:tcPr>
            <w:tcW w:w="709" w:type="dxa"/>
            <w:vAlign w:val="center"/>
          </w:tcPr>
          <w:p w:rsidR="00532AF1" w:rsidRPr="00F42593" w:rsidRDefault="00532AF1" w:rsidP="00532AF1">
            <w:pPr>
              <w:rPr>
                <w:rFonts w:asciiTheme="minorHAnsi" w:hAnsiTheme="minorHAnsi"/>
                <w:sz w:val="20"/>
                <w:szCs w:val="22"/>
              </w:rPr>
            </w:pPr>
            <w:r w:rsidRPr="00F42593">
              <w:rPr>
                <w:rFonts w:asciiTheme="minorHAnsi" w:hAnsiTheme="minorHAnsi"/>
                <w:sz w:val="20"/>
                <w:szCs w:val="22"/>
              </w:rPr>
              <w:t>No</w:t>
            </w:r>
          </w:p>
        </w:tc>
        <w:tc>
          <w:tcPr>
            <w:tcW w:w="3562" w:type="dxa"/>
            <w:vAlign w:val="center"/>
          </w:tcPr>
          <w:p w:rsidR="00532AF1" w:rsidRPr="00F42593" w:rsidRDefault="00532AF1" w:rsidP="00532AF1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</w:tr>
      <w:tr w:rsidR="00532AF1" w:rsidRPr="00AE7477" w:rsidTr="00F42593">
        <w:trPr>
          <w:trHeight w:val="340"/>
        </w:trPr>
        <w:tc>
          <w:tcPr>
            <w:tcW w:w="5387" w:type="dxa"/>
            <w:shd w:val="clear" w:color="auto" w:fill="D9D9D9" w:themeFill="background1" w:themeFillShade="D9"/>
            <w:vAlign w:val="center"/>
          </w:tcPr>
          <w:p w:rsidR="00532AF1" w:rsidRPr="00F42593" w:rsidRDefault="00532AF1" w:rsidP="001E6913">
            <w:pPr>
              <w:rPr>
                <w:rFonts w:asciiTheme="minorHAnsi" w:hAnsiTheme="minorHAnsi"/>
                <w:sz w:val="20"/>
                <w:szCs w:val="22"/>
              </w:rPr>
            </w:pPr>
            <w:r w:rsidRPr="00F42593">
              <w:rPr>
                <w:rFonts w:asciiTheme="minorHAnsi" w:hAnsiTheme="minorHAnsi"/>
                <w:b/>
                <w:sz w:val="20"/>
                <w:szCs w:val="22"/>
              </w:rPr>
              <w:t>Racial Group</w:t>
            </w:r>
          </w:p>
        </w:tc>
        <w:tc>
          <w:tcPr>
            <w:tcW w:w="709" w:type="dxa"/>
            <w:vAlign w:val="center"/>
          </w:tcPr>
          <w:p w:rsidR="00532AF1" w:rsidRPr="00F42593" w:rsidRDefault="00532AF1" w:rsidP="00532AF1">
            <w:pPr>
              <w:rPr>
                <w:rFonts w:asciiTheme="minorHAnsi" w:hAnsiTheme="minorHAnsi"/>
                <w:sz w:val="20"/>
                <w:szCs w:val="22"/>
              </w:rPr>
            </w:pPr>
            <w:r w:rsidRPr="00F42593">
              <w:rPr>
                <w:rFonts w:asciiTheme="minorHAnsi" w:hAnsiTheme="minorHAnsi"/>
                <w:sz w:val="20"/>
                <w:szCs w:val="22"/>
              </w:rPr>
              <w:t>No</w:t>
            </w:r>
          </w:p>
        </w:tc>
        <w:tc>
          <w:tcPr>
            <w:tcW w:w="3562" w:type="dxa"/>
            <w:vAlign w:val="center"/>
          </w:tcPr>
          <w:p w:rsidR="00532AF1" w:rsidRPr="00F42593" w:rsidRDefault="00532AF1" w:rsidP="00532AF1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</w:tr>
      <w:tr w:rsidR="00532AF1" w:rsidRPr="00AE7477" w:rsidTr="00F42593">
        <w:trPr>
          <w:trHeight w:val="340"/>
        </w:trPr>
        <w:tc>
          <w:tcPr>
            <w:tcW w:w="5387" w:type="dxa"/>
            <w:shd w:val="clear" w:color="auto" w:fill="D9D9D9" w:themeFill="background1" w:themeFillShade="D9"/>
            <w:vAlign w:val="center"/>
          </w:tcPr>
          <w:p w:rsidR="00532AF1" w:rsidRPr="00F42593" w:rsidRDefault="00532AF1" w:rsidP="001E6913">
            <w:pPr>
              <w:rPr>
                <w:rFonts w:asciiTheme="minorHAnsi" w:hAnsiTheme="minorHAnsi"/>
                <w:b/>
                <w:sz w:val="20"/>
                <w:szCs w:val="22"/>
              </w:rPr>
            </w:pPr>
            <w:r w:rsidRPr="00F42593">
              <w:rPr>
                <w:rFonts w:asciiTheme="minorHAnsi" w:hAnsiTheme="minorHAnsi"/>
                <w:b/>
                <w:sz w:val="20"/>
                <w:szCs w:val="22"/>
              </w:rPr>
              <w:t>Lowest level geography at which the measure is available:</w:t>
            </w:r>
          </w:p>
        </w:tc>
        <w:tc>
          <w:tcPr>
            <w:tcW w:w="4271" w:type="dxa"/>
            <w:gridSpan w:val="2"/>
            <w:vAlign w:val="center"/>
          </w:tcPr>
          <w:p w:rsidR="00532AF1" w:rsidRPr="00F42593" w:rsidRDefault="00532AF1" w:rsidP="00532AF1">
            <w:pPr>
              <w:rPr>
                <w:rFonts w:asciiTheme="minorHAnsi" w:hAnsiTheme="minorHAnsi"/>
                <w:sz w:val="20"/>
                <w:szCs w:val="22"/>
              </w:rPr>
            </w:pPr>
            <w:r w:rsidRPr="00F42593">
              <w:rPr>
                <w:rFonts w:asciiTheme="minorHAnsi" w:hAnsiTheme="minorHAnsi"/>
                <w:sz w:val="20"/>
                <w:szCs w:val="22"/>
              </w:rPr>
              <w:t>Parliamentary Constituency Area</w:t>
            </w:r>
          </w:p>
        </w:tc>
      </w:tr>
    </w:tbl>
    <w:p w:rsidR="002F1337" w:rsidRPr="00AE7477" w:rsidRDefault="00532AF1" w:rsidP="002F1337">
      <w:pPr>
        <w:rPr>
          <w:rFonts w:asciiTheme="minorHAnsi" w:hAnsiTheme="minorHAnsi"/>
          <w:sz w:val="22"/>
          <w:szCs w:val="22"/>
        </w:rPr>
      </w:pPr>
      <w:r w:rsidRPr="00AE7477">
        <w:rPr>
          <w:rFonts w:asciiTheme="minorHAnsi" w:hAnsiTheme="minorHAnsi"/>
          <w:sz w:val="22"/>
          <w:szCs w:val="22"/>
        </w:rPr>
        <w:t>* Due to confidentiality constraints</w:t>
      </w:r>
      <w:r w:rsidR="00AB2C11" w:rsidRPr="00AE7477">
        <w:rPr>
          <w:rFonts w:asciiTheme="minorHAnsi" w:hAnsiTheme="minorHAnsi"/>
          <w:sz w:val="22"/>
          <w:szCs w:val="22"/>
        </w:rPr>
        <w:t xml:space="preserve"> and accuracy of estimations</w:t>
      </w:r>
      <w:r w:rsidRPr="00AE7477">
        <w:rPr>
          <w:rFonts w:asciiTheme="minorHAnsi" w:hAnsiTheme="minorHAnsi"/>
          <w:sz w:val="22"/>
          <w:szCs w:val="22"/>
        </w:rPr>
        <w:t>, in some instances breakdowns may not be available due to small numbers</w:t>
      </w:r>
    </w:p>
    <w:sectPr w:rsidR="002F1337" w:rsidRPr="00AE7477" w:rsidSect="008F671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09" w:right="851" w:bottom="680" w:left="851" w:header="709" w:footer="4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EEB" w:rsidRDefault="00533EEB" w:rsidP="008F671D">
      <w:r>
        <w:separator/>
      </w:r>
    </w:p>
  </w:endnote>
  <w:endnote w:type="continuationSeparator" w:id="0">
    <w:p w:rsidR="00533EEB" w:rsidRDefault="00533EEB" w:rsidP="008F6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0E4" w:rsidRDefault="003800E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0E4" w:rsidRDefault="003800E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0E4" w:rsidRDefault="003800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EEB" w:rsidRDefault="00533EEB" w:rsidP="008F671D">
      <w:r>
        <w:separator/>
      </w:r>
    </w:p>
  </w:footnote>
  <w:footnote w:type="continuationSeparator" w:id="0">
    <w:p w:rsidR="00533EEB" w:rsidRDefault="00533EEB" w:rsidP="008F67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0E4" w:rsidRDefault="003800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513" w:rsidRPr="00E14E8E" w:rsidRDefault="002A5513" w:rsidP="008F671D">
    <w:pPr>
      <w:rPr>
        <w:rFonts w:asciiTheme="minorHAnsi" w:hAnsiTheme="minorHAnsi" w:cs="Arial"/>
        <w:b/>
        <w:color w:val="808080" w:themeColor="background1" w:themeShade="80"/>
        <w:sz w:val="28"/>
      </w:rPr>
    </w:pPr>
    <w:r w:rsidRPr="00E14E8E">
      <w:rPr>
        <w:rFonts w:asciiTheme="minorHAnsi" w:hAnsiTheme="minorHAnsi" w:cs="Arial"/>
        <w:b/>
        <w:color w:val="808080" w:themeColor="background1" w:themeShade="80"/>
        <w:sz w:val="28"/>
      </w:rPr>
      <w:t>PFG – 2016/</w:t>
    </w:r>
    <w:r>
      <w:rPr>
        <w:rFonts w:asciiTheme="minorHAnsi" w:hAnsiTheme="minorHAnsi" w:cs="Arial"/>
        <w:b/>
        <w:color w:val="808080" w:themeColor="background1" w:themeShade="80"/>
        <w:sz w:val="28"/>
      </w:rPr>
      <w:t>202</w:t>
    </w:r>
    <w:r w:rsidR="003800E4">
      <w:rPr>
        <w:rFonts w:asciiTheme="minorHAnsi" w:hAnsiTheme="minorHAnsi" w:cs="Arial"/>
        <w:b/>
        <w:color w:val="808080" w:themeColor="background1" w:themeShade="80"/>
        <w:sz w:val="28"/>
      </w:rPr>
      <w:t>1</w:t>
    </w:r>
    <w:r>
      <w:rPr>
        <w:rFonts w:asciiTheme="minorHAnsi" w:hAnsiTheme="minorHAnsi" w:cs="Arial"/>
        <w:b/>
        <w:color w:val="808080" w:themeColor="background1" w:themeShade="80"/>
        <w:sz w:val="28"/>
      </w:rPr>
      <w:tab/>
    </w:r>
    <w:r w:rsidR="00532AF1">
      <w:rPr>
        <w:rFonts w:asciiTheme="minorHAnsi" w:hAnsiTheme="minorHAnsi" w:cs="Arial"/>
        <w:b/>
        <w:color w:val="808080" w:themeColor="background1" w:themeShade="80"/>
        <w:sz w:val="28"/>
      </w:rPr>
      <w:tab/>
    </w:r>
    <w:r w:rsidR="00532AF1">
      <w:rPr>
        <w:rFonts w:asciiTheme="minorHAnsi" w:hAnsiTheme="minorHAnsi" w:cs="Arial"/>
        <w:b/>
        <w:color w:val="808080" w:themeColor="background1" w:themeShade="80"/>
        <w:sz w:val="28"/>
      </w:rPr>
      <w:tab/>
    </w:r>
    <w:r w:rsidR="00532AF1">
      <w:rPr>
        <w:rFonts w:asciiTheme="minorHAnsi" w:hAnsiTheme="minorHAnsi" w:cs="Arial"/>
        <w:b/>
        <w:color w:val="808080" w:themeColor="background1" w:themeShade="80"/>
        <w:sz w:val="28"/>
      </w:rPr>
      <w:tab/>
    </w:r>
    <w:r w:rsidR="00532AF1">
      <w:rPr>
        <w:rFonts w:asciiTheme="minorHAnsi" w:hAnsiTheme="minorHAnsi" w:cs="Arial"/>
        <w:b/>
        <w:color w:val="808080" w:themeColor="background1" w:themeShade="80"/>
        <w:sz w:val="28"/>
      </w:rPr>
      <w:tab/>
    </w:r>
    <w:r w:rsidR="00532AF1">
      <w:rPr>
        <w:rFonts w:asciiTheme="minorHAnsi" w:hAnsiTheme="minorHAnsi" w:cs="Arial"/>
        <w:b/>
        <w:color w:val="808080" w:themeColor="background1" w:themeShade="80"/>
        <w:sz w:val="28"/>
      </w:rPr>
      <w:tab/>
    </w:r>
    <w:r>
      <w:rPr>
        <w:rFonts w:asciiTheme="minorHAnsi" w:hAnsiTheme="minorHAnsi" w:cs="Arial"/>
        <w:b/>
        <w:color w:val="808080" w:themeColor="background1" w:themeShade="80"/>
        <w:sz w:val="28"/>
      </w:rPr>
      <w:tab/>
    </w:r>
    <w:r w:rsidRPr="00E14E8E">
      <w:rPr>
        <w:rFonts w:asciiTheme="minorHAnsi" w:hAnsiTheme="minorHAnsi" w:cs="Arial"/>
        <w:b/>
        <w:color w:val="808080" w:themeColor="background1" w:themeShade="80"/>
        <w:sz w:val="28"/>
      </w:rPr>
      <w:tab/>
      <w:t>MEASUREMENT ANNEX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0E4" w:rsidRDefault="003800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B1A3D"/>
    <w:multiLevelType w:val="multilevel"/>
    <w:tmpl w:val="D4C4F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7326BB"/>
    <w:multiLevelType w:val="hybridMultilevel"/>
    <w:tmpl w:val="4942D086"/>
    <w:lvl w:ilvl="0" w:tplc="30801D32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CD3872"/>
    <w:multiLevelType w:val="hybridMultilevel"/>
    <w:tmpl w:val="392A7668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0B0"/>
    <w:rsid w:val="000200B0"/>
    <w:rsid w:val="00046DC7"/>
    <w:rsid w:val="000754B2"/>
    <w:rsid w:val="000A6669"/>
    <w:rsid w:val="000B4FA4"/>
    <w:rsid w:val="000E3D56"/>
    <w:rsid w:val="00104142"/>
    <w:rsid w:val="0010628B"/>
    <w:rsid w:val="00131D42"/>
    <w:rsid w:val="00164DC4"/>
    <w:rsid w:val="001668A0"/>
    <w:rsid w:val="001849F8"/>
    <w:rsid w:val="001863BB"/>
    <w:rsid w:val="001938A8"/>
    <w:rsid w:val="001A009C"/>
    <w:rsid w:val="001A1501"/>
    <w:rsid w:val="001A3AAF"/>
    <w:rsid w:val="001B68A1"/>
    <w:rsid w:val="001C2C68"/>
    <w:rsid w:val="001C5680"/>
    <w:rsid w:val="001D5BC3"/>
    <w:rsid w:val="001D69FA"/>
    <w:rsid w:val="001E16E3"/>
    <w:rsid w:val="001F3EAE"/>
    <w:rsid w:val="00203B9A"/>
    <w:rsid w:val="002119C6"/>
    <w:rsid w:val="0021456F"/>
    <w:rsid w:val="00221C18"/>
    <w:rsid w:val="00254DA2"/>
    <w:rsid w:val="00291117"/>
    <w:rsid w:val="002962FD"/>
    <w:rsid w:val="002A5513"/>
    <w:rsid w:val="002A5E91"/>
    <w:rsid w:val="002E1810"/>
    <w:rsid w:val="002F1337"/>
    <w:rsid w:val="00316D9E"/>
    <w:rsid w:val="00317644"/>
    <w:rsid w:val="00357CC1"/>
    <w:rsid w:val="00371EF6"/>
    <w:rsid w:val="00372264"/>
    <w:rsid w:val="003800E4"/>
    <w:rsid w:val="0039007A"/>
    <w:rsid w:val="00397F49"/>
    <w:rsid w:val="003E3345"/>
    <w:rsid w:val="003E6935"/>
    <w:rsid w:val="003E6FDF"/>
    <w:rsid w:val="003E72B1"/>
    <w:rsid w:val="003F3DAC"/>
    <w:rsid w:val="003F504A"/>
    <w:rsid w:val="003F74DA"/>
    <w:rsid w:val="00416C51"/>
    <w:rsid w:val="00425870"/>
    <w:rsid w:val="00453FE7"/>
    <w:rsid w:val="004544D5"/>
    <w:rsid w:val="004A2488"/>
    <w:rsid w:val="004B1902"/>
    <w:rsid w:val="004B3FBA"/>
    <w:rsid w:val="004D237C"/>
    <w:rsid w:val="00501BDD"/>
    <w:rsid w:val="00521759"/>
    <w:rsid w:val="00532AF1"/>
    <w:rsid w:val="00533EEB"/>
    <w:rsid w:val="00534AAE"/>
    <w:rsid w:val="00587D89"/>
    <w:rsid w:val="005C79AD"/>
    <w:rsid w:val="005F2EA3"/>
    <w:rsid w:val="00606ED2"/>
    <w:rsid w:val="006101E9"/>
    <w:rsid w:val="00653DD6"/>
    <w:rsid w:val="00696124"/>
    <w:rsid w:val="006B0988"/>
    <w:rsid w:val="006B63FE"/>
    <w:rsid w:val="006C0277"/>
    <w:rsid w:val="006C3075"/>
    <w:rsid w:val="006D6E49"/>
    <w:rsid w:val="00703138"/>
    <w:rsid w:val="0071015F"/>
    <w:rsid w:val="00735E57"/>
    <w:rsid w:val="00770017"/>
    <w:rsid w:val="00790AB1"/>
    <w:rsid w:val="007B0EB1"/>
    <w:rsid w:val="007B25CF"/>
    <w:rsid w:val="007D0190"/>
    <w:rsid w:val="007E4E3C"/>
    <w:rsid w:val="007F0BEB"/>
    <w:rsid w:val="00806A6E"/>
    <w:rsid w:val="008248D7"/>
    <w:rsid w:val="00825199"/>
    <w:rsid w:val="00827E91"/>
    <w:rsid w:val="0083200C"/>
    <w:rsid w:val="008702DF"/>
    <w:rsid w:val="00887B0D"/>
    <w:rsid w:val="0089508A"/>
    <w:rsid w:val="008A3430"/>
    <w:rsid w:val="008A6D31"/>
    <w:rsid w:val="008A7A06"/>
    <w:rsid w:val="008B6781"/>
    <w:rsid w:val="008C3FDB"/>
    <w:rsid w:val="008D4C79"/>
    <w:rsid w:val="008F671D"/>
    <w:rsid w:val="00900C4D"/>
    <w:rsid w:val="00902932"/>
    <w:rsid w:val="009253D7"/>
    <w:rsid w:val="009373F2"/>
    <w:rsid w:val="00937890"/>
    <w:rsid w:val="00937DE9"/>
    <w:rsid w:val="0094632B"/>
    <w:rsid w:val="0095664D"/>
    <w:rsid w:val="00977923"/>
    <w:rsid w:val="009A5F20"/>
    <w:rsid w:val="009E1EBC"/>
    <w:rsid w:val="009E6AFE"/>
    <w:rsid w:val="00A125E6"/>
    <w:rsid w:val="00A41582"/>
    <w:rsid w:val="00A535C2"/>
    <w:rsid w:val="00A770B7"/>
    <w:rsid w:val="00A95EBF"/>
    <w:rsid w:val="00AA1984"/>
    <w:rsid w:val="00AB2C11"/>
    <w:rsid w:val="00AC0EFF"/>
    <w:rsid w:val="00AD6125"/>
    <w:rsid w:val="00AE36D5"/>
    <w:rsid w:val="00AE6B78"/>
    <w:rsid w:val="00AE7477"/>
    <w:rsid w:val="00B2037D"/>
    <w:rsid w:val="00B26EB6"/>
    <w:rsid w:val="00B2736F"/>
    <w:rsid w:val="00B466F3"/>
    <w:rsid w:val="00B6370C"/>
    <w:rsid w:val="00B67431"/>
    <w:rsid w:val="00B71043"/>
    <w:rsid w:val="00B830CA"/>
    <w:rsid w:val="00BA2994"/>
    <w:rsid w:val="00BB3E77"/>
    <w:rsid w:val="00BC6DAF"/>
    <w:rsid w:val="00BD4124"/>
    <w:rsid w:val="00BE6E50"/>
    <w:rsid w:val="00BF28EE"/>
    <w:rsid w:val="00BF4610"/>
    <w:rsid w:val="00C07358"/>
    <w:rsid w:val="00C23048"/>
    <w:rsid w:val="00C31050"/>
    <w:rsid w:val="00C32C23"/>
    <w:rsid w:val="00C3368E"/>
    <w:rsid w:val="00C6089F"/>
    <w:rsid w:val="00C63810"/>
    <w:rsid w:val="00C716C1"/>
    <w:rsid w:val="00C8195C"/>
    <w:rsid w:val="00C83BE2"/>
    <w:rsid w:val="00C85901"/>
    <w:rsid w:val="00C928BF"/>
    <w:rsid w:val="00CD1313"/>
    <w:rsid w:val="00CD32D3"/>
    <w:rsid w:val="00CE2CEB"/>
    <w:rsid w:val="00CF1015"/>
    <w:rsid w:val="00CF240A"/>
    <w:rsid w:val="00D0651D"/>
    <w:rsid w:val="00D30094"/>
    <w:rsid w:val="00D37393"/>
    <w:rsid w:val="00D403AC"/>
    <w:rsid w:val="00D435FC"/>
    <w:rsid w:val="00D51C6C"/>
    <w:rsid w:val="00D8539A"/>
    <w:rsid w:val="00D91E22"/>
    <w:rsid w:val="00DB2897"/>
    <w:rsid w:val="00DC1C64"/>
    <w:rsid w:val="00DE4070"/>
    <w:rsid w:val="00DE6B3B"/>
    <w:rsid w:val="00DF7880"/>
    <w:rsid w:val="00E14E8E"/>
    <w:rsid w:val="00E229E7"/>
    <w:rsid w:val="00E27C4A"/>
    <w:rsid w:val="00E61884"/>
    <w:rsid w:val="00E83A11"/>
    <w:rsid w:val="00E9077E"/>
    <w:rsid w:val="00EB6003"/>
    <w:rsid w:val="00ED7DE8"/>
    <w:rsid w:val="00EE3AE8"/>
    <w:rsid w:val="00EF2DD6"/>
    <w:rsid w:val="00EF40E8"/>
    <w:rsid w:val="00F11B2D"/>
    <w:rsid w:val="00F4100B"/>
    <w:rsid w:val="00F42593"/>
    <w:rsid w:val="00F51DD4"/>
    <w:rsid w:val="00F67160"/>
    <w:rsid w:val="00F81E8B"/>
    <w:rsid w:val="00FA18BB"/>
    <w:rsid w:val="00FB2DFE"/>
    <w:rsid w:val="00FB47D0"/>
    <w:rsid w:val="00FB544B"/>
    <w:rsid w:val="00FD3C38"/>
    <w:rsid w:val="00FE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48D5A0F2-5881-4F89-BB54-E22CFEB8E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6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E6FD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67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671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F67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671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7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71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aliases w:val="Dot pt,No Spacing1,List Paragraph Char Char Char,Indicator Text,Numbered Para 1,List Paragraph1,Bullet 1,Bullet Points,MAIN CONTENT,List Paragraph2,OBC Bullet,List Paragraph11,List Paragraph12,F5 List Paragraph,Colorful List - Accent 11"/>
    <w:basedOn w:val="Normal"/>
    <w:link w:val="ListParagraphChar"/>
    <w:uiPriority w:val="34"/>
    <w:qFormat/>
    <w:rsid w:val="00902932"/>
    <w:pPr>
      <w:ind w:left="720"/>
    </w:pPr>
    <w:rPr>
      <w:lang w:val="en-US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1 Char,Bullet Points Char,MAIN CONTENT Char,List Paragraph2 Char,OBC Bullet Char"/>
    <w:basedOn w:val="DefaultParagraphFont"/>
    <w:link w:val="ListParagraph"/>
    <w:uiPriority w:val="34"/>
    <w:qFormat/>
    <w:locked/>
    <w:rsid w:val="00902932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C1C64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825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230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30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304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30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3048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C33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3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0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29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74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80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sra.gov.uk/publications/labour-force-survey-annual-report-2019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nisra.gov.uk/publications/background-information-lf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ons.gov.uk/employmentandlabourmarket/peopleinwork/employmentandemployeetypes/qmis/labourforcesurveylfsqmi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DC8879-43C9-44B5-A4B7-0147598B8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847</Words>
  <Characters>4601</Characters>
  <Application>Microsoft Office Word</Application>
  <DocSecurity>0</DocSecurity>
  <Lines>117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Assist</Company>
  <LinksUpToDate>false</LinksUpToDate>
  <CharactersWithSpaces>5396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Niall O'Neill</dc:creator>
  <cp:lastModifiedBy>Fyffe, Sarah</cp:lastModifiedBy>
  <cp:revision>10</cp:revision>
  <cp:lastPrinted>2016-10-25T13:00:00Z</cp:lastPrinted>
  <dcterms:created xsi:type="dcterms:W3CDTF">2020-08-26T17:18:00Z</dcterms:created>
  <dcterms:modified xsi:type="dcterms:W3CDTF">2020-09-29T16:31:00Z</dcterms:modified>
</cp:coreProperties>
</file>