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231F54" w:rsidRPr="008F671D" w:rsidTr="00882FF5">
        <w:trPr>
          <w:trHeight w:val="397"/>
        </w:trPr>
        <w:tc>
          <w:tcPr>
            <w:tcW w:w="3397" w:type="dxa"/>
            <w:shd w:val="clear" w:color="auto" w:fill="D9D9D9" w:themeFill="background1" w:themeFillShade="D9"/>
            <w:vAlign w:val="center"/>
          </w:tcPr>
          <w:p w:rsidR="00231F54" w:rsidRPr="002D4968" w:rsidRDefault="00231F54" w:rsidP="00231F54">
            <w:pPr>
              <w:rPr>
                <w:rFonts w:asciiTheme="minorHAnsi" w:hAnsiTheme="minorHAnsi"/>
                <w:b/>
                <w:sz w:val="20"/>
                <w:szCs w:val="20"/>
              </w:rPr>
            </w:pPr>
            <w:bookmarkStart w:id="0" w:name="OLE_LINK1"/>
            <w:r w:rsidRPr="002D4968">
              <w:rPr>
                <w:rFonts w:asciiTheme="minorHAnsi" w:hAnsiTheme="minorHAnsi"/>
                <w:b/>
                <w:sz w:val="20"/>
                <w:szCs w:val="20"/>
              </w:rPr>
              <w:t>Indicator</w:t>
            </w:r>
            <w:r>
              <w:rPr>
                <w:rFonts w:asciiTheme="minorHAnsi" w:hAnsiTheme="minorHAnsi"/>
                <w:b/>
                <w:sz w:val="20"/>
                <w:szCs w:val="20"/>
              </w:rPr>
              <w:t xml:space="preserve"> 7</w:t>
            </w:r>
            <w:r w:rsidRPr="002D4968">
              <w:rPr>
                <w:rFonts w:asciiTheme="minorHAnsi" w:hAnsiTheme="minorHAnsi"/>
                <w:b/>
                <w:sz w:val="20"/>
                <w:szCs w:val="20"/>
              </w:rPr>
              <w:t>:</w:t>
            </w:r>
          </w:p>
        </w:tc>
        <w:tc>
          <w:tcPr>
            <w:tcW w:w="7201" w:type="dxa"/>
            <w:vAlign w:val="center"/>
          </w:tcPr>
          <w:p w:rsidR="00231F54" w:rsidRPr="008E612A" w:rsidRDefault="00231F54" w:rsidP="004E4C07">
            <w:pPr>
              <w:rPr>
                <w:rFonts w:asciiTheme="minorHAnsi" w:hAnsiTheme="minorHAnsi"/>
                <w:b/>
                <w:sz w:val="20"/>
                <w:szCs w:val="20"/>
              </w:rPr>
            </w:pPr>
            <w:r w:rsidRPr="00BC7F9D">
              <w:rPr>
                <w:rFonts w:asciiTheme="minorHAnsi" w:hAnsiTheme="minorHAnsi" w:cs="Arial"/>
                <w:b/>
                <w:sz w:val="20"/>
                <w:szCs w:val="20"/>
              </w:rPr>
              <w:t xml:space="preserve">The </w:t>
            </w:r>
            <w:r w:rsidR="004E4C07">
              <w:rPr>
                <w:rFonts w:asciiTheme="minorHAnsi" w:hAnsiTheme="minorHAnsi" w:cs="Arial"/>
                <w:b/>
                <w:sz w:val="20"/>
                <w:szCs w:val="20"/>
              </w:rPr>
              <w:t>percentage</w:t>
            </w:r>
            <w:r w:rsidRPr="00BC7F9D">
              <w:rPr>
                <w:rFonts w:asciiTheme="minorHAnsi" w:hAnsiTheme="minorHAnsi" w:cs="Arial"/>
                <w:b/>
                <w:sz w:val="20"/>
                <w:szCs w:val="20"/>
              </w:rPr>
              <w:t xml:space="preserve"> of babies born at a low birth weight</w:t>
            </w:r>
          </w:p>
        </w:tc>
      </w:tr>
    </w:tbl>
    <w:p w:rsidR="00FB47D0" w:rsidRPr="008F671D" w:rsidRDefault="00FB47D0">
      <w:pPr>
        <w:rPr>
          <w:rFonts w:asciiTheme="minorHAnsi" w:hAnsiTheme="minorHAnsi"/>
        </w:rPr>
      </w:pPr>
    </w:p>
    <w:tbl>
      <w:tblPr>
        <w:tblStyle w:val="TableGrid"/>
        <w:tblW w:w="10598" w:type="dxa"/>
        <w:tblLook w:val="04A0" w:firstRow="1" w:lastRow="0" w:firstColumn="1" w:lastColumn="0" w:noHBand="0" w:noVBand="1"/>
      </w:tblPr>
      <w:tblGrid>
        <w:gridCol w:w="3328"/>
        <w:gridCol w:w="5811"/>
        <w:gridCol w:w="1459"/>
      </w:tblGrid>
      <w:tr w:rsidR="00231F54" w:rsidRPr="008F671D" w:rsidTr="00231F54">
        <w:trPr>
          <w:trHeight w:val="340"/>
        </w:trPr>
        <w:tc>
          <w:tcPr>
            <w:tcW w:w="3328"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270" w:type="dxa"/>
            <w:gridSpan w:val="2"/>
            <w:vAlign w:val="center"/>
          </w:tcPr>
          <w:p w:rsidR="00231F54" w:rsidRPr="002D4968" w:rsidRDefault="00231F54" w:rsidP="00231F54">
            <w:pPr>
              <w:rPr>
                <w:rFonts w:asciiTheme="minorHAnsi" w:hAnsiTheme="minorHAnsi"/>
                <w:b/>
                <w:sz w:val="20"/>
                <w:szCs w:val="20"/>
              </w:rPr>
            </w:pPr>
            <w:r w:rsidRPr="002D4968">
              <w:rPr>
                <w:rFonts w:asciiTheme="minorHAnsi" w:hAnsiTheme="minorHAnsi"/>
                <w:sz w:val="20"/>
                <w:szCs w:val="20"/>
              </w:rPr>
              <w:t>Bill Stewart, Department of Health</w:t>
            </w:r>
          </w:p>
        </w:tc>
      </w:tr>
      <w:tr w:rsidR="00231F54" w:rsidRPr="008F671D" w:rsidTr="00231F54">
        <w:trPr>
          <w:trHeight w:val="340"/>
        </w:trPr>
        <w:tc>
          <w:tcPr>
            <w:tcW w:w="3328"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sidRPr="00345E2E">
              <w:rPr>
                <w:rFonts w:asciiTheme="minorHAnsi" w:hAnsiTheme="minorHAnsi"/>
                <w:b/>
                <w:sz w:val="20"/>
                <w:szCs w:val="20"/>
              </w:rPr>
              <w:t>Web Link to Statistical Publication:</w:t>
            </w:r>
          </w:p>
        </w:tc>
        <w:tc>
          <w:tcPr>
            <w:tcW w:w="7270" w:type="dxa"/>
            <w:gridSpan w:val="2"/>
            <w:vAlign w:val="center"/>
          </w:tcPr>
          <w:p w:rsidR="00231F54" w:rsidRPr="005E67ED" w:rsidRDefault="00B212B3" w:rsidP="00231F54">
            <w:pPr>
              <w:rPr>
                <w:rFonts w:asciiTheme="minorHAnsi" w:hAnsiTheme="minorHAnsi"/>
                <w:sz w:val="20"/>
                <w:szCs w:val="20"/>
              </w:rPr>
            </w:pPr>
            <w:hyperlink r:id="rId8" w:history="1">
              <w:r w:rsidR="00231F54" w:rsidRPr="00A3446B">
                <w:rPr>
                  <w:rStyle w:val="Hyperlink"/>
                  <w:rFonts w:asciiTheme="minorHAnsi" w:hAnsiTheme="minorHAnsi" w:cstheme="minorHAnsi"/>
                  <w:sz w:val="20"/>
                  <w:szCs w:val="20"/>
                </w:rPr>
                <w:t>https://www.health-ni.gov.uk/articles/public-health-statistics</w:t>
              </w:r>
            </w:hyperlink>
          </w:p>
        </w:tc>
      </w:tr>
      <w:tr w:rsidR="00231F54" w:rsidRPr="008F671D" w:rsidTr="00231F54">
        <w:trPr>
          <w:trHeight w:val="340"/>
        </w:trPr>
        <w:tc>
          <w:tcPr>
            <w:tcW w:w="3328"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270" w:type="dxa"/>
            <w:gridSpan w:val="2"/>
            <w:vAlign w:val="center"/>
          </w:tcPr>
          <w:p w:rsidR="00231F54" w:rsidRPr="002D4968" w:rsidRDefault="00231F54" w:rsidP="00231F54">
            <w:pPr>
              <w:rPr>
                <w:rFonts w:asciiTheme="minorHAnsi" w:hAnsiTheme="minorHAnsi"/>
                <w:sz w:val="20"/>
                <w:szCs w:val="20"/>
              </w:rPr>
            </w:pPr>
            <w:r>
              <w:rPr>
                <w:rFonts w:asciiTheme="minorHAnsi" w:hAnsiTheme="minorHAnsi"/>
                <w:sz w:val="20"/>
                <w:szCs w:val="20"/>
              </w:rPr>
              <w:t>Annual</w:t>
            </w:r>
            <w:bookmarkStart w:id="1" w:name="_GoBack"/>
            <w:bookmarkEnd w:id="1"/>
          </w:p>
        </w:tc>
      </w:tr>
      <w:tr w:rsidR="00231F54" w:rsidRPr="008F671D" w:rsidTr="00231F54">
        <w:trPr>
          <w:trHeight w:val="340"/>
        </w:trPr>
        <w:tc>
          <w:tcPr>
            <w:tcW w:w="3328"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270" w:type="dxa"/>
            <w:gridSpan w:val="2"/>
            <w:vAlign w:val="center"/>
          </w:tcPr>
          <w:p w:rsidR="00231F54" w:rsidRPr="002D4968" w:rsidRDefault="00231F54" w:rsidP="00231F54">
            <w:pPr>
              <w:rPr>
                <w:rFonts w:asciiTheme="minorHAnsi" w:hAnsiTheme="minorHAnsi"/>
                <w:sz w:val="20"/>
                <w:szCs w:val="20"/>
              </w:rPr>
            </w:pPr>
            <w:r w:rsidRPr="00325837">
              <w:rPr>
                <w:rFonts w:asciiTheme="minorHAnsi" w:hAnsiTheme="minorHAnsi"/>
                <w:sz w:val="20"/>
                <w:szCs w:val="20"/>
              </w:rPr>
              <w:t>1 Year</w:t>
            </w:r>
          </w:p>
        </w:tc>
      </w:tr>
      <w:tr w:rsidR="00231F54" w:rsidRPr="008F671D" w:rsidTr="00231F54">
        <w:trPr>
          <w:trHeight w:val="340"/>
        </w:trPr>
        <w:tc>
          <w:tcPr>
            <w:tcW w:w="3328"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sidRPr="00345E2E">
              <w:rPr>
                <w:rFonts w:asciiTheme="minorHAnsi" w:hAnsiTheme="minorHAnsi"/>
                <w:b/>
                <w:sz w:val="20"/>
                <w:szCs w:val="20"/>
              </w:rPr>
              <w:t>Data Source:</w:t>
            </w:r>
          </w:p>
        </w:tc>
        <w:tc>
          <w:tcPr>
            <w:tcW w:w="7270" w:type="dxa"/>
            <w:gridSpan w:val="2"/>
            <w:vAlign w:val="center"/>
          </w:tcPr>
          <w:p w:rsidR="00231F54" w:rsidRPr="002D4968" w:rsidRDefault="00231F54" w:rsidP="00231F54">
            <w:pPr>
              <w:rPr>
                <w:rFonts w:asciiTheme="minorHAnsi" w:hAnsiTheme="minorHAnsi"/>
                <w:sz w:val="20"/>
                <w:szCs w:val="20"/>
              </w:rPr>
            </w:pPr>
            <w:r>
              <w:rPr>
                <w:rFonts w:asciiTheme="minorHAnsi" w:hAnsiTheme="minorHAnsi"/>
                <w:sz w:val="20"/>
                <w:szCs w:val="20"/>
              </w:rPr>
              <w:t>Northern Ireland Maternity System (NIMATS)</w:t>
            </w:r>
          </w:p>
        </w:tc>
      </w:tr>
      <w:tr w:rsidR="00231F54" w:rsidRPr="008F671D" w:rsidTr="00231F54">
        <w:trPr>
          <w:trHeight w:val="340"/>
        </w:trPr>
        <w:tc>
          <w:tcPr>
            <w:tcW w:w="3328"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270" w:type="dxa"/>
            <w:gridSpan w:val="2"/>
            <w:vAlign w:val="center"/>
          </w:tcPr>
          <w:p w:rsidR="00231F54" w:rsidRPr="002D4968" w:rsidRDefault="00231F54" w:rsidP="00231F54">
            <w:pPr>
              <w:rPr>
                <w:rFonts w:asciiTheme="minorHAnsi" w:hAnsiTheme="minorHAnsi"/>
                <w:sz w:val="20"/>
                <w:szCs w:val="20"/>
              </w:rPr>
            </w:pPr>
            <w:r>
              <w:rPr>
                <w:rFonts w:asciiTheme="minorHAnsi" w:hAnsiTheme="minorHAnsi"/>
                <w:sz w:val="20"/>
                <w:szCs w:val="20"/>
              </w:rPr>
              <w:t>Official Statistics</w:t>
            </w:r>
          </w:p>
        </w:tc>
      </w:tr>
      <w:tr w:rsidR="00231F54" w:rsidRPr="008F671D" w:rsidTr="00231F54">
        <w:trPr>
          <w:trHeight w:val="340"/>
        </w:trPr>
        <w:tc>
          <w:tcPr>
            <w:tcW w:w="3328"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sidRPr="00345E2E">
              <w:rPr>
                <w:rFonts w:asciiTheme="minorHAnsi" w:hAnsiTheme="minorHAnsi"/>
                <w:b/>
                <w:sz w:val="20"/>
                <w:szCs w:val="20"/>
              </w:rPr>
              <w:t>Quality Report:</w:t>
            </w:r>
          </w:p>
        </w:tc>
        <w:tc>
          <w:tcPr>
            <w:tcW w:w="7270" w:type="dxa"/>
            <w:gridSpan w:val="2"/>
            <w:vAlign w:val="center"/>
          </w:tcPr>
          <w:p w:rsidR="00231F54" w:rsidRPr="002D4968" w:rsidRDefault="00231F54" w:rsidP="00231F54">
            <w:pPr>
              <w:rPr>
                <w:rFonts w:asciiTheme="minorHAnsi" w:hAnsiTheme="minorHAnsi"/>
                <w:sz w:val="20"/>
                <w:szCs w:val="20"/>
              </w:rPr>
            </w:pPr>
            <w:r w:rsidRPr="002D4968">
              <w:rPr>
                <w:rFonts w:asciiTheme="minorHAnsi" w:hAnsiTheme="minorHAnsi"/>
                <w:sz w:val="20"/>
                <w:szCs w:val="20"/>
              </w:rPr>
              <w:t>N/A</w:t>
            </w:r>
          </w:p>
        </w:tc>
      </w:tr>
      <w:tr w:rsidR="00231F54" w:rsidRPr="008F671D" w:rsidTr="00231F54">
        <w:trPr>
          <w:trHeight w:val="340"/>
        </w:trPr>
        <w:tc>
          <w:tcPr>
            <w:tcW w:w="3328"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sidRPr="00345E2E">
              <w:rPr>
                <w:rFonts w:asciiTheme="minorHAnsi" w:hAnsiTheme="minorHAnsi"/>
                <w:b/>
                <w:sz w:val="20"/>
                <w:szCs w:val="20"/>
              </w:rPr>
              <w:t>Historic Data available from:</w:t>
            </w:r>
          </w:p>
        </w:tc>
        <w:tc>
          <w:tcPr>
            <w:tcW w:w="7270" w:type="dxa"/>
            <w:gridSpan w:val="2"/>
            <w:vAlign w:val="center"/>
          </w:tcPr>
          <w:p w:rsidR="00231F54" w:rsidRPr="002D4968" w:rsidRDefault="00231F54" w:rsidP="00231F54">
            <w:pPr>
              <w:rPr>
                <w:rFonts w:asciiTheme="minorHAnsi" w:hAnsiTheme="minorHAnsi"/>
                <w:sz w:val="20"/>
                <w:szCs w:val="20"/>
              </w:rPr>
            </w:pPr>
            <w:r>
              <w:rPr>
                <w:rFonts w:asciiTheme="minorHAnsi" w:hAnsiTheme="minorHAnsi"/>
                <w:sz w:val="20"/>
                <w:szCs w:val="20"/>
              </w:rPr>
              <w:t>2005</w:t>
            </w:r>
          </w:p>
        </w:tc>
      </w:tr>
      <w:tr w:rsidR="00231F54" w:rsidRPr="008F671D" w:rsidTr="00231F54">
        <w:trPr>
          <w:trHeight w:val="3255"/>
        </w:trPr>
        <w:tc>
          <w:tcPr>
            <w:tcW w:w="3328" w:type="dxa"/>
            <w:shd w:val="clear" w:color="auto" w:fill="D9D9D9" w:themeFill="background1" w:themeFillShade="D9"/>
            <w:vAlign w:val="center"/>
          </w:tcPr>
          <w:p w:rsidR="00231F54" w:rsidRPr="004D6771" w:rsidRDefault="00231F54" w:rsidP="00231F54">
            <w:pPr>
              <w:rPr>
                <w:rFonts w:asciiTheme="minorHAnsi" w:hAnsiTheme="minorHAnsi"/>
                <w:b/>
                <w:sz w:val="20"/>
                <w:szCs w:val="20"/>
              </w:rPr>
            </w:pPr>
            <w:r w:rsidRPr="004D6771">
              <w:rPr>
                <w:rFonts w:asciiTheme="minorHAnsi" w:hAnsiTheme="minorHAnsi"/>
                <w:b/>
                <w:sz w:val="20"/>
                <w:szCs w:val="20"/>
              </w:rPr>
              <w:t xml:space="preserve">Time-series trend: </w:t>
            </w:r>
          </w:p>
          <w:p w:rsidR="00231F54" w:rsidRPr="00B8684A" w:rsidRDefault="00231F54" w:rsidP="00231F54">
            <w:pPr>
              <w:rPr>
                <w:rFonts w:asciiTheme="minorHAnsi" w:hAnsiTheme="minorHAnsi"/>
                <w:b/>
                <w:sz w:val="20"/>
                <w:szCs w:val="20"/>
                <w:highlight w:val="yellow"/>
              </w:rPr>
            </w:pPr>
          </w:p>
          <w:p w:rsidR="00231F54" w:rsidRPr="00B8684A" w:rsidRDefault="00231F54" w:rsidP="00231F54">
            <w:pPr>
              <w:rPr>
                <w:rFonts w:asciiTheme="minorHAnsi" w:hAnsiTheme="minorHAnsi"/>
                <w:sz w:val="20"/>
                <w:szCs w:val="20"/>
                <w:highlight w:val="yellow"/>
              </w:rPr>
            </w:pPr>
          </w:p>
        </w:tc>
        <w:tc>
          <w:tcPr>
            <w:tcW w:w="7270" w:type="dxa"/>
            <w:gridSpan w:val="2"/>
          </w:tcPr>
          <w:p w:rsidR="00231F54" w:rsidRDefault="00231F54" w:rsidP="00231F54">
            <w:pPr>
              <w:rPr>
                <w:rFonts w:asciiTheme="minorHAnsi" w:hAnsiTheme="minorHAnsi"/>
                <w:sz w:val="20"/>
                <w:szCs w:val="20"/>
              </w:rPr>
            </w:pPr>
          </w:p>
          <w:p w:rsidR="00231F54" w:rsidRPr="00584BF4" w:rsidRDefault="00231F54" w:rsidP="00231F54">
            <w:pPr>
              <w:rPr>
                <w:rFonts w:asciiTheme="minorHAnsi" w:hAnsiTheme="minorHAnsi"/>
                <w:sz w:val="20"/>
                <w:szCs w:val="20"/>
              </w:rPr>
            </w:pPr>
            <w:r w:rsidRPr="00325837">
              <w:rPr>
                <w:rFonts w:asciiTheme="minorHAnsi" w:hAnsiTheme="minorHAnsi"/>
                <w:b/>
                <w:sz w:val="20"/>
                <w:szCs w:val="20"/>
              </w:rPr>
              <w:t>% of live births</w:t>
            </w:r>
            <w:r>
              <w:rPr>
                <w:rFonts w:asciiTheme="minorHAnsi" w:hAnsiTheme="minorHAnsi"/>
                <w:b/>
                <w:sz w:val="20"/>
                <w:szCs w:val="20"/>
              </w:rPr>
              <w:t xml:space="preserve"> at low birth weight (&lt;2,500g)</w:t>
            </w:r>
          </w:p>
          <w:tbl>
            <w:tblPr>
              <w:tblW w:w="7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39"/>
              <w:gridCol w:w="639"/>
              <w:gridCol w:w="639"/>
              <w:gridCol w:w="639"/>
              <w:gridCol w:w="639"/>
              <w:gridCol w:w="639"/>
              <w:gridCol w:w="639"/>
              <w:gridCol w:w="639"/>
              <w:gridCol w:w="639"/>
              <w:gridCol w:w="639"/>
              <w:gridCol w:w="639"/>
            </w:tblGrid>
            <w:tr w:rsidR="00231F54" w:rsidRPr="00584BF4" w:rsidTr="00D04DE7">
              <w:trPr>
                <w:trHeight w:val="329"/>
              </w:trPr>
              <w:tc>
                <w:tcPr>
                  <w:tcW w:w="639" w:type="dxa"/>
                  <w:shd w:val="clear" w:color="auto" w:fill="auto"/>
                  <w:vAlign w:val="center"/>
                  <w:hideMark/>
                </w:tcPr>
                <w:p w:rsidR="00231F54" w:rsidRPr="008A0BA4" w:rsidRDefault="00231F54" w:rsidP="00231F54">
                  <w:pPr>
                    <w:jc w:val="center"/>
                    <w:rPr>
                      <w:rFonts w:asciiTheme="minorHAnsi" w:hAnsiTheme="minorHAnsi"/>
                      <w:b/>
                      <w:sz w:val="20"/>
                      <w:szCs w:val="20"/>
                    </w:rPr>
                  </w:pPr>
                  <w:r w:rsidRPr="008A0BA4">
                    <w:rPr>
                      <w:rFonts w:asciiTheme="minorHAnsi" w:hAnsiTheme="minorHAnsi"/>
                      <w:b/>
                      <w:color w:val="000000"/>
                      <w:sz w:val="20"/>
                      <w:szCs w:val="20"/>
                    </w:rPr>
                    <w:t>2005</w:t>
                  </w:r>
                </w:p>
              </w:tc>
              <w:tc>
                <w:tcPr>
                  <w:tcW w:w="639" w:type="dxa"/>
                  <w:shd w:val="clear" w:color="auto" w:fill="auto"/>
                  <w:vAlign w:val="center"/>
                  <w:hideMark/>
                </w:tcPr>
                <w:p w:rsidR="00231F54" w:rsidRPr="008A0BA4" w:rsidRDefault="00231F54" w:rsidP="00231F54">
                  <w:pPr>
                    <w:jc w:val="center"/>
                    <w:rPr>
                      <w:rFonts w:asciiTheme="minorHAnsi" w:hAnsiTheme="minorHAnsi"/>
                      <w:b/>
                      <w:sz w:val="20"/>
                      <w:szCs w:val="20"/>
                    </w:rPr>
                  </w:pPr>
                  <w:r w:rsidRPr="008A0BA4">
                    <w:rPr>
                      <w:rFonts w:asciiTheme="minorHAnsi" w:hAnsiTheme="minorHAnsi"/>
                      <w:b/>
                      <w:color w:val="000000"/>
                      <w:sz w:val="20"/>
                      <w:szCs w:val="20"/>
                    </w:rPr>
                    <w:t>2006</w:t>
                  </w:r>
                </w:p>
              </w:tc>
              <w:tc>
                <w:tcPr>
                  <w:tcW w:w="639" w:type="dxa"/>
                  <w:shd w:val="clear" w:color="auto" w:fill="auto"/>
                  <w:vAlign w:val="center"/>
                  <w:hideMark/>
                </w:tcPr>
                <w:p w:rsidR="00231F54" w:rsidRPr="008A0BA4" w:rsidRDefault="00231F54" w:rsidP="00231F54">
                  <w:pPr>
                    <w:jc w:val="center"/>
                    <w:rPr>
                      <w:rFonts w:asciiTheme="minorHAnsi" w:hAnsiTheme="minorHAnsi"/>
                      <w:b/>
                      <w:sz w:val="20"/>
                      <w:szCs w:val="20"/>
                    </w:rPr>
                  </w:pPr>
                  <w:r w:rsidRPr="008A0BA4">
                    <w:rPr>
                      <w:rFonts w:asciiTheme="minorHAnsi" w:hAnsiTheme="minorHAnsi"/>
                      <w:b/>
                      <w:color w:val="000000"/>
                      <w:sz w:val="20"/>
                      <w:szCs w:val="20"/>
                    </w:rPr>
                    <w:t>2007</w:t>
                  </w:r>
                </w:p>
              </w:tc>
              <w:tc>
                <w:tcPr>
                  <w:tcW w:w="639" w:type="dxa"/>
                  <w:shd w:val="clear" w:color="auto" w:fill="auto"/>
                  <w:vAlign w:val="center"/>
                  <w:hideMark/>
                </w:tcPr>
                <w:p w:rsidR="00231F54" w:rsidRPr="008A0BA4" w:rsidRDefault="00231F54" w:rsidP="00231F54">
                  <w:pPr>
                    <w:jc w:val="center"/>
                    <w:rPr>
                      <w:rFonts w:asciiTheme="minorHAnsi" w:hAnsiTheme="minorHAnsi"/>
                      <w:b/>
                      <w:color w:val="000000"/>
                      <w:sz w:val="20"/>
                      <w:szCs w:val="20"/>
                    </w:rPr>
                  </w:pPr>
                  <w:r w:rsidRPr="008A0BA4">
                    <w:rPr>
                      <w:rFonts w:asciiTheme="minorHAnsi" w:hAnsiTheme="minorHAnsi"/>
                      <w:b/>
                      <w:color w:val="000000"/>
                      <w:sz w:val="20"/>
                      <w:szCs w:val="20"/>
                    </w:rPr>
                    <w:t>2008</w:t>
                  </w:r>
                </w:p>
              </w:tc>
              <w:tc>
                <w:tcPr>
                  <w:tcW w:w="639" w:type="dxa"/>
                  <w:shd w:val="clear" w:color="auto" w:fill="auto"/>
                  <w:vAlign w:val="center"/>
                  <w:hideMark/>
                </w:tcPr>
                <w:p w:rsidR="00231F54" w:rsidRPr="008A0BA4" w:rsidRDefault="00231F54" w:rsidP="00231F54">
                  <w:pPr>
                    <w:jc w:val="center"/>
                    <w:rPr>
                      <w:rFonts w:asciiTheme="minorHAnsi" w:hAnsiTheme="minorHAnsi"/>
                      <w:b/>
                      <w:color w:val="000000"/>
                      <w:sz w:val="20"/>
                      <w:szCs w:val="20"/>
                    </w:rPr>
                  </w:pPr>
                  <w:r w:rsidRPr="008A0BA4">
                    <w:rPr>
                      <w:rFonts w:asciiTheme="minorHAnsi" w:hAnsiTheme="minorHAnsi"/>
                      <w:b/>
                      <w:color w:val="000000"/>
                      <w:sz w:val="20"/>
                      <w:szCs w:val="20"/>
                    </w:rPr>
                    <w:t>2009</w:t>
                  </w:r>
                </w:p>
              </w:tc>
              <w:tc>
                <w:tcPr>
                  <w:tcW w:w="639" w:type="dxa"/>
                  <w:shd w:val="clear" w:color="auto" w:fill="auto"/>
                  <w:vAlign w:val="center"/>
                  <w:hideMark/>
                </w:tcPr>
                <w:p w:rsidR="00231F54" w:rsidRPr="008A0BA4" w:rsidRDefault="00231F54" w:rsidP="00231F54">
                  <w:pPr>
                    <w:jc w:val="center"/>
                    <w:rPr>
                      <w:rFonts w:asciiTheme="minorHAnsi" w:hAnsiTheme="minorHAnsi"/>
                      <w:b/>
                      <w:color w:val="000000"/>
                      <w:sz w:val="20"/>
                      <w:szCs w:val="20"/>
                    </w:rPr>
                  </w:pPr>
                  <w:r w:rsidRPr="008A0BA4">
                    <w:rPr>
                      <w:rFonts w:asciiTheme="minorHAnsi" w:hAnsiTheme="minorHAnsi"/>
                      <w:b/>
                      <w:sz w:val="20"/>
                      <w:szCs w:val="20"/>
                    </w:rPr>
                    <w:t>2010</w:t>
                  </w:r>
                </w:p>
              </w:tc>
              <w:tc>
                <w:tcPr>
                  <w:tcW w:w="639" w:type="dxa"/>
                  <w:shd w:val="clear" w:color="auto" w:fill="auto"/>
                  <w:vAlign w:val="center"/>
                  <w:hideMark/>
                </w:tcPr>
                <w:p w:rsidR="00231F54" w:rsidRPr="008A0BA4" w:rsidRDefault="00231F54" w:rsidP="00231F54">
                  <w:pPr>
                    <w:jc w:val="center"/>
                    <w:rPr>
                      <w:rFonts w:ascii="Calibri" w:hAnsi="Calibri"/>
                      <w:b/>
                      <w:color w:val="000000"/>
                      <w:sz w:val="20"/>
                      <w:szCs w:val="20"/>
                    </w:rPr>
                  </w:pPr>
                  <w:r w:rsidRPr="008A0BA4">
                    <w:rPr>
                      <w:rFonts w:ascii="Calibri" w:hAnsi="Calibri"/>
                      <w:b/>
                      <w:color w:val="000000"/>
                      <w:sz w:val="20"/>
                      <w:szCs w:val="20"/>
                    </w:rPr>
                    <w:t>2011</w:t>
                  </w:r>
                </w:p>
              </w:tc>
              <w:tc>
                <w:tcPr>
                  <w:tcW w:w="639" w:type="dxa"/>
                  <w:vAlign w:val="center"/>
                </w:tcPr>
                <w:p w:rsidR="00231F54" w:rsidRPr="008A0BA4" w:rsidRDefault="00231F54" w:rsidP="00231F54">
                  <w:pPr>
                    <w:jc w:val="center"/>
                    <w:rPr>
                      <w:rFonts w:ascii="Calibri" w:hAnsi="Calibri"/>
                      <w:b/>
                      <w:color w:val="000000"/>
                      <w:sz w:val="20"/>
                      <w:szCs w:val="20"/>
                    </w:rPr>
                  </w:pPr>
                  <w:r w:rsidRPr="008A0BA4">
                    <w:rPr>
                      <w:rFonts w:ascii="Calibri" w:hAnsi="Calibri"/>
                      <w:b/>
                      <w:color w:val="000000"/>
                      <w:sz w:val="20"/>
                      <w:szCs w:val="20"/>
                    </w:rPr>
                    <w:t>2012</w:t>
                  </w:r>
                </w:p>
              </w:tc>
              <w:tc>
                <w:tcPr>
                  <w:tcW w:w="639" w:type="dxa"/>
                  <w:vAlign w:val="center"/>
                </w:tcPr>
                <w:p w:rsidR="00231F54" w:rsidRPr="008A0BA4" w:rsidRDefault="00231F54" w:rsidP="00231F54">
                  <w:pPr>
                    <w:jc w:val="center"/>
                    <w:rPr>
                      <w:rFonts w:ascii="Calibri" w:hAnsi="Calibri"/>
                      <w:b/>
                      <w:color w:val="000000"/>
                      <w:sz w:val="20"/>
                      <w:szCs w:val="20"/>
                    </w:rPr>
                  </w:pPr>
                  <w:r w:rsidRPr="008A0BA4">
                    <w:rPr>
                      <w:rFonts w:ascii="Calibri" w:hAnsi="Calibri"/>
                      <w:b/>
                      <w:color w:val="000000"/>
                      <w:sz w:val="20"/>
                      <w:szCs w:val="20"/>
                    </w:rPr>
                    <w:t>2013</w:t>
                  </w:r>
                </w:p>
              </w:tc>
              <w:tc>
                <w:tcPr>
                  <w:tcW w:w="639" w:type="dxa"/>
                  <w:vAlign w:val="center"/>
                </w:tcPr>
                <w:p w:rsidR="00231F54" w:rsidRPr="008A0BA4" w:rsidRDefault="00231F54" w:rsidP="00231F54">
                  <w:pPr>
                    <w:jc w:val="center"/>
                    <w:rPr>
                      <w:rFonts w:ascii="Calibri" w:hAnsi="Calibri"/>
                      <w:b/>
                      <w:color w:val="000000"/>
                      <w:sz w:val="20"/>
                      <w:szCs w:val="20"/>
                    </w:rPr>
                  </w:pPr>
                  <w:r w:rsidRPr="008A0BA4">
                    <w:rPr>
                      <w:rFonts w:ascii="Calibri" w:hAnsi="Calibri"/>
                      <w:b/>
                      <w:color w:val="000000"/>
                      <w:sz w:val="20"/>
                      <w:szCs w:val="20"/>
                    </w:rPr>
                    <w:t>2014</w:t>
                  </w:r>
                </w:p>
              </w:tc>
              <w:tc>
                <w:tcPr>
                  <w:tcW w:w="639" w:type="dxa"/>
                  <w:vAlign w:val="center"/>
                </w:tcPr>
                <w:p w:rsidR="00231F54" w:rsidRPr="008A0BA4" w:rsidRDefault="00231F54" w:rsidP="00231F54">
                  <w:pPr>
                    <w:jc w:val="center"/>
                    <w:rPr>
                      <w:rFonts w:ascii="Calibri" w:hAnsi="Calibri"/>
                      <w:b/>
                      <w:color w:val="000000"/>
                      <w:sz w:val="20"/>
                      <w:szCs w:val="20"/>
                    </w:rPr>
                  </w:pPr>
                  <w:r w:rsidRPr="008A0BA4">
                    <w:rPr>
                      <w:rFonts w:ascii="Calibri" w:hAnsi="Calibri"/>
                      <w:b/>
                      <w:color w:val="000000"/>
                      <w:sz w:val="20"/>
                      <w:szCs w:val="20"/>
                    </w:rPr>
                    <w:t>2015</w:t>
                  </w:r>
                </w:p>
              </w:tc>
            </w:tr>
            <w:tr w:rsidR="00231F54" w:rsidRPr="00584BF4" w:rsidTr="00D04DE7">
              <w:trPr>
                <w:trHeight w:val="259"/>
              </w:trPr>
              <w:tc>
                <w:tcPr>
                  <w:tcW w:w="639" w:type="dxa"/>
                  <w:shd w:val="clear" w:color="auto" w:fill="auto"/>
                  <w:vAlign w:val="bottom"/>
                  <w:hideMark/>
                </w:tcPr>
                <w:p w:rsidR="00231F54" w:rsidRPr="008A0BA4" w:rsidRDefault="00231F54" w:rsidP="00231F54">
                  <w:pPr>
                    <w:jc w:val="right"/>
                    <w:rPr>
                      <w:rFonts w:ascii="Calibri" w:hAnsi="Calibri"/>
                      <w:color w:val="000000"/>
                      <w:sz w:val="20"/>
                      <w:szCs w:val="20"/>
                    </w:rPr>
                  </w:pPr>
                  <w:r w:rsidRPr="008A0BA4">
                    <w:rPr>
                      <w:rFonts w:ascii="Calibri" w:hAnsi="Calibri"/>
                      <w:color w:val="000000"/>
                      <w:sz w:val="20"/>
                      <w:szCs w:val="20"/>
                    </w:rPr>
                    <w:t>6.1%</w:t>
                  </w:r>
                </w:p>
              </w:tc>
              <w:tc>
                <w:tcPr>
                  <w:tcW w:w="639" w:type="dxa"/>
                  <w:shd w:val="clear" w:color="auto" w:fill="auto"/>
                  <w:vAlign w:val="bottom"/>
                  <w:hideMark/>
                </w:tcPr>
                <w:p w:rsidR="00231F54" w:rsidRPr="008A0BA4" w:rsidRDefault="00231F54" w:rsidP="00231F54">
                  <w:pPr>
                    <w:jc w:val="right"/>
                    <w:rPr>
                      <w:rFonts w:ascii="Calibri" w:hAnsi="Calibri"/>
                      <w:color w:val="000000"/>
                      <w:sz w:val="20"/>
                      <w:szCs w:val="20"/>
                    </w:rPr>
                  </w:pPr>
                  <w:r w:rsidRPr="008A0BA4">
                    <w:rPr>
                      <w:rFonts w:ascii="Calibri" w:hAnsi="Calibri"/>
                      <w:color w:val="000000"/>
                      <w:sz w:val="20"/>
                      <w:szCs w:val="20"/>
                    </w:rPr>
                    <w:t>6.4%</w:t>
                  </w:r>
                </w:p>
              </w:tc>
              <w:tc>
                <w:tcPr>
                  <w:tcW w:w="639" w:type="dxa"/>
                  <w:shd w:val="clear" w:color="auto" w:fill="auto"/>
                  <w:vAlign w:val="bottom"/>
                  <w:hideMark/>
                </w:tcPr>
                <w:p w:rsidR="00231F54" w:rsidRPr="008A0BA4" w:rsidRDefault="00231F54" w:rsidP="00231F54">
                  <w:pPr>
                    <w:jc w:val="right"/>
                    <w:rPr>
                      <w:rFonts w:ascii="Calibri" w:hAnsi="Calibri"/>
                      <w:color w:val="000000"/>
                      <w:sz w:val="20"/>
                      <w:szCs w:val="20"/>
                    </w:rPr>
                  </w:pPr>
                  <w:r w:rsidRPr="008A0BA4">
                    <w:rPr>
                      <w:rFonts w:ascii="Calibri" w:hAnsi="Calibri"/>
                      <w:color w:val="000000"/>
                      <w:sz w:val="20"/>
                      <w:szCs w:val="20"/>
                    </w:rPr>
                    <w:t>6.1%</w:t>
                  </w:r>
                </w:p>
              </w:tc>
              <w:tc>
                <w:tcPr>
                  <w:tcW w:w="639" w:type="dxa"/>
                  <w:shd w:val="clear" w:color="auto" w:fill="auto"/>
                  <w:vAlign w:val="bottom"/>
                  <w:hideMark/>
                </w:tcPr>
                <w:p w:rsidR="00231F54" w:rsidRPr="008A0BA4" w:rsidRDefault="00231F54" w:rsidP="00231F54">
                  <w:pPr>
                    <w:jc w:val="right"/>
                    <w:rPr>
                      <w:rFonts w:ascii="Calibri" w:hAnsi="Calibri"/>
                      <w:color w:val="000000"/>
                      <w:sz w:val="20"/>
                      <w:szCs w:val="20"/>
                    </w:rPr>
                  </w:pPr>
                  <w:r w:rsidRPr="008A0BA4">
                    <w:rPr>
                      <w:rFonts w:ascii="Calibri" w:hAnsi="Calibri"/>
                      <w:color w:val="000000"/>
                      <w:sz w:val="20"/>
                      <w:szCs w:val="20"/>
                    </w:rPr>
                    <w:t>6.1%</w:t>
                  </w:r>
                </w:p>
              </w:tc>
              <w:tc>
                <w:tcPr>
                  <w:tcW w:w="639" w:type="dxa"/>
                  <w:shd w:val="clear" w:color="auto" w:fill="auto"/>
                  <w:vAlign w:val="bottom"/>
                  <w:hideMark/>
                </w:tcPr>
                <w:p w:rsidR="00231F54" w:rsidRPr="008A0BA4" w:rsidRDefault="00231F54" w:rsidP="00231F54">
                  <w:pPr>
                    <w:jc w:val="right"/>
                    <w:rPr>
                      <w:rFonts w:ascii="Calibri" w:hAnsi="Calibri"/>
                      <w:color w:val="000000"/>
                      <w:sz w:val="20"/>
                      <w:szCs w:val="20"/>
                    </w:rPr>
                  </w:pPr>
                  <w:r w:rsidRPr="008A0BA4">
                    <w:rPr>
                      <w:rFonts w:ascii="Calibri" w:hAnsi="Calibri"/>
                      <w:color w:val="000000"/>
                      <w:sz w:val="20"/>
                      <w:szCs w:val="20"/>
                    </w:rPr>
                    <w:t>6.2%</w:t>
                  </w:r>
                </w:p>
              </w:tc>
              <w:tc>
                <w:tcPr>
                  <w:tcW w:w="639" w:type="dxa"/>
                  <w:shd w:val="clear" w:color="auto" w:fill="auto"/>
                  <w:vAlign w:val="bottom"/>
                  <w:hideMark/>
                </w:tcPr>
                <w:p w:rsidR="00231F54" w:rsidRPr="008A0BA4" w:rsidRDefault="00231F54" w:rsidP="00231F54">
                  <w:pPr>
                    <w:jc w:val="right"/>
                    <w:rPr>
                      <w:rFonts w:ascii="Calibri" w:hAnsi="Calibri"/>
                      <w:color w:val="000000"/>
                      <w:sz w:val="20"/>
                      <w:szCs w:val="20"/>
                    </w:rPr>
                  </w:pPr>
                  <w:r w:rsidRPr="008A0BA4">
                    <w:rPr>
                      <w:rFonts w:ascii="Calibri" w:hAnsi="Calibri"/>
                      <w:color w:val="000000"/>
                      <w:sz w:val="20"/>
                      <w:szCs w:val="20"/>
                    </w:rPr>
                    <w:t>5.8%</w:t>
                  </w:r>
                </w:p>
              </w:tc>
              <w:tc>
                <w:tcPr>
                  <w:tcW w:w="639" w:type="dxa"/>
                  <w:shd w:val="clear" w:color="auto" w:fill="auto"/>
                  <w:vAlign w:val="bottom"/>
                  <w:hideMark/>
                </w:tcPr>
                <w:p w:rsidR="00231F54" w:rsidRPr="008A0BA4" w:rsidRDefault="00231F54" w:rsidP="00231F54">
                  <w:pPr>
                    <w:jc w:val="right"/>
                    <w:rPr>
                      <w:rFonts w:ascii="Calibri" w:hAnsi="Calibri"/>
                      <w:color w:val="000000"/>
                      <w:sz w:val="20"/>
                      <w:szCs w:val="20"/>
                    </w:rPr>
                  </w:pPr>
                  <w:r w:rsidRPr="008A0BA4">
                    <w:rPr>
                      <w:rFonts w:ascii="Calibri" w:hAnsi="Calibri"/>
                      <w:color w:val="000000"/>
                      <w:sz w:val="20"/>
                      <w:szCs w:val="20"/>
                    </w:rPr>
                    <w:t>6.2%</w:t>
                  </w:r>
                </w:p>
              </w:tc>
              <w:tc>
                <w:tcPr>
                  <w:tcW w:w="639" w:type="dxa"/>
                  <w:vAlign w:val="bottom"/>
                </w:tcPr>
                <w:p w:rsidR="00231F54" w:rsidRPr="008A0BA4" w:rsidRDefault="00231F54" w:rsidP="00231F54">
                  <w:pPr>
                    <w:jc w:val="right"/>
                    <w:rPr>
                      <w:rFonts w:ascii="Calibri" w:hAnsi="Calibri"/>
                      <w:color w:val="000000"/>
                      <w:sz w:val="20"/>
                      <w:szCs w:val="20"/>
                    </w:rPr>
                  </w:pPr>
                  <w:r w:rsidRPr="008A0BA4">
                    <w:rPr>
                      <w:rFonts w:ascii="Calibri" w:hAnsi="Calibri"/>
                      <w:color w:val="000000"/>
                      <w:sz w:val="20"/>
                      <w:szCs w:val="20"/>
                    </w:rPr>
                    <w:t>6.1%</w:t>
                  </w:r>
                </w:p>
              </w:tc>
              <w:tc>
                <w:tcPr>
                  <w:tcW w:w="639" w:type="dxa"/>
                  <w:vAlign w:val="bottom"/>
                </w:tcPr>
                <w:p w:rsidR="00231F54" w:rsidRPr="008A0BA4" w:rsidRDefault="00231F54" w:rsidP="00231F54">
                  <w:pPr>
                    <w:jc w:val="right"/>
                    <w:rPr>
                      <w:rFonts w:ascii="Calibri" w:hAnsi="Calibri"/>
                      <w:color w:val="000000"/>
                      <w:sz w:val="20"/>
                      <w:szCs w:val="20"/>
                    </w:rPr>
                  </w:pPr>
                  <w:r w:rsidRPr="008A0BA4">
                    <w:rPr>
                      <w:rFonts w:ascii="Calibri" w:hAnsi="Calibri"/>
                      <w:color w:val="000000"/>
                      <w:sz w:val="20"/>
                      <w:szCs w:val="20"/>
                    </w:rPr>
                    <w:t>6.3%</w:t>
                  </w:r>
                </w:p>
              </w:tc>
              <w:tc>
                <w:tcPr>
                  <w:tcW w:w="639" w:type="dxa"/>
                  <w:vAlign w:val="bottom"/>
                </w:tcPr>
                <w:p w:rsidR="00231F54" w:rsidRPr="008A0BA4" w:rsidRDefault="00231F54" w:rsidP="00231F54">
                  <w:pPr>
                    <w:jc w:val="right"/>
                    <w:rPr>
                      <w:rFonts w:ascii="Calibri" w:hAnsi="Calibri"/>
                      <w:color w:val="000000"/>
                      <w:sz w:val="20"/>
                      <w:szCs w:val="20"/>
                    </w:rPr>
                  </w:pPr>
                  <w:r w:rsidRPr="008A0BA4">
                    <w:rPr>
                      <w:rFonts w:ascii="Calibri" w:hAnsi="Calibri"/>
                      <w:color w:val="000000"/>
                      <w:sz w:val="20"/>
                      <w:szCs w:val="20"/>
                    </w:rPr>
                    <w:t>6.3%</w:t>
                  </w:r>
                </w:p>
              </w:tc>
              <w:tc>
                <w:tcPr>
                  <w:tcW w:w="639" w:type="dxa"/>
                  <w:vAlign w:val="bottom"/>
                </w:tcPr>
                <w:p w:rsidR="00231F54" w:rsidRPr="008A0BA4" w:rsidRDefault="00231F54" w:rsidP="00231F54">
                  <w:pPr>
                    <w:jc w:val="right"/>
                    <w:rPr>
                      <w:rFonts w:ascii="Calibri" w:hAnsi="Calibri"/>
                      <w:color w:val="000000"/>
                      <w:sz w:val="20"/>
                      <w:szCs w:val="20"/>
                    </w:rPr>
                  </w:pPr>
                  <w:r w:rsidRPr="008A0BA4">
                    <w:rPr>
                      <w:rFonts w:ascii="Calibri" w:hAnsi="Calibri"/>
                      <w:color w:val="000000"/>
                      <w:sz w:val="20"/>
                      <w:szCs w:val="20"/>
                    </w:rPr>
                    <w:t>6.5%</w:t>
                  </w:r>
                </w:p>
              </w:tc>
            </w:tr>
            <w:tr w:rsidR="00231F54" w:rsidRPr="00584BF4" w:rsidTr="00D04DE7">
              <w:trPr>
                <w:trHeight w:val="259"/>
              </w:trPr>
              <w:tc>
                <w:tcPr>
                  <w:tcW w:w="639" w:type="dxa"/>
                  <w:shd w:val="clear" w:color="auto" w:fill="auto"/>
                  <w:vAlign w:val="center"/>
                </w:tcPr>
                <w:p w:rsidR="00231F54" w:rsidRPr="008A0BA4" w:rsidRDefault="00231F54" w:rsidP="00231F54">
                  <w:pPr>
                    <w:jc w:val="center"/>
                    <w:rPr>
                      <w:rFonts w:ascii="Calibri" w:hAnsi="Calibri"/>
                      <w:b/>
                      <w:sz w:val="20"/>
                      <w:szCs w:val="20"/>
                    </w:rPr>
                  </w:pPr>
                  <w:r w:rsidRPr="008A0BA4">
                    <w:rPr>
                      <w:rFonts w:ascii="Calibri" w:hAnsi="Calibri"/>
                      <w:b/>
                      <w:sz w:val="20"/>
                      <w:szCs w:val="20"/>
                    </w:rPr>
                    <w:t>2016</w:t>
                  </w:r>
                </w:p>
              </w:tc>
              <w:tc>
                <w:tcPr>
                  <w:tcW w:w="639" w:type="dxa"/>
                  <w:shd w:val="clear" w:color="auto" w:fill="auto"/>
                  <w:vAlign w:val="center"/>
                </w:tcPr>
                <w:p w:rsidR="00231F54" w:rsidRPr="008A0BA4" w:rsidRDefault="00231F54" w:rsidP="00231F54">
                  <w:pPr>
                    <w:jc w:val="center"/>
                    <w:rPr>
                      <w:rFonts w:ascii="Calibri" w:hAnsi="Calibri"/>
                      <w:b/>
                      <w:sz w:val="20"/>
                      <w:szCs w:val="20"/>
                    </w:rPr>
                  </w:pPr>
                  <w:r w:rsidRPr="008A0BA4">
                    <w:rPr>
                      <w:rFonts w:ascii="Calibri" w:hAnsi="Calibri"/>
                      <w:b/>
                      <w:sz w:val="20"/>
                      <w:szCs w:val="20"/>
                    </w:rPr>
                    <w:t>2017</w:t>
                  </w:r>
                </w:p>
              </w:tc>
              <w:tc>
                <w:tcPr>
                  <w:tcW w:w="639" w:type="dxa"/>
                  <w:shd w:val="clear" w:color="auto" w:fill="auto"/>
                  <w:vAlign w:val="center"/>
                </w:tcPr>
                <w:p w:rsidR="00231F54" w:rsidRPr="008A0BA4" w:rsidRDefault="00231F54" w:rsidP="00231F54">
                  <w:pPr>
                    <w:jc w:val="center"/>
                    <w:rPr>
                      <w:rFonts w:ascii="Calibri" w:hAnsi="Calibri"/>
                      <w:b/>
                      <w:sz w:val="20"/>
                      <w:szCs w:val="20"/>
                    </w:rPr>
                  </w:pPr>
                  <w:r>
                    <w:rPr>
                      <w:rFonts w:ascii="Calibri" w:hAnsi="Calibri"/>
                      <w:b/>
                      <w:sz w:val="20"/>
                      <w:szCs w:val="20"/>
                    </w:rPr>
                    <w:t>2018</w:t>
                  </w:r>
                </w:p>
              </w:tc>
              <w:tc>
                <w:tcPr>
                  <w:tcW w:w="639" w:type="dxa"/>
                  <w:shd w:val="clear" w:color="auto" w:fill="auto"/>
                  <w:vAlign w:val="center"/>
                </w:tcPr>
                <w:p w:rsidR="00231F54" w:rsidRPr="008A0BA4" w:rsidRDefault="00231F54" w:rsidP="00231F54">
                  <w:pPr>
                    <w:jc w:val="center"/>
                    <w:rPr>
                      <w:rFonts w:ascii="Calibri" w:hAnsi="Calibri"/>
                      <w:sz w:val="20"/>
                      <w:szCs w:val="20"/>
                    </w:rPr>
                  </w:pPr>
                </w:p>
              </w:tc>
              <w:tc>
                <w:tcPr>
                  <w:tcW w:w="639" w:type="dxa"/>
                  <w:shd w:val="clear" w:color="auto" w:fill="auto"/>
                  <w:vAlign w:val="center"/>
                </w:tcPr>
                <w:p w:rsidR="00231F54" w:rsidRPr="008A0BA4" w:rsidRDefault="00231F54" w:rsidP="00231F54">
                  <w:pPr>
                    <w:jc w:val="center"/>
                    <w:rPr>
                      <w:rFonts w:ascii="Calibri" w:hAnsi="Calibri"/>
                      <w:sz w:val="20"/>
                      <w:szCs w:val="20"/>
                    </w:rPr>
                  </w:pPr>
                </w:p>
              </w:tc>
              <w:tc>
                <w:tcPr>
                  <w:tcW w:w="639" w:type="dxa"/>
                  <w:shd w:val="clear" w:color="auto" w:fill="auto"/>
                  <w:vAlign w:val="center"/>
                </w:tcPr>
                <w:p w:rsidR="00231F54" w:rsidRPr="008A0BA4" w:rsidRDefault="00231F54" w:rsidP="00231F54">
                  <w:pPr>
                    <w:jc w:val="center"/>
                    <w:rPr>
                      <w:rFonts w:ascii="Calibri" w:hAnsi="Calibri"/>
                      <w:sz w:val="20"/>
                      <w:szCs w:val="20"/>
                    </w:rPr>
                  </w:pPr>
                </w:p>
              </w:tc>
              <w:tc>
                <w:tcPr>
                  <w:tcW w:w="639" w:type="dxa"/>
                  <w:shd w:val="clear" w:color="auto" w:fill="auto"/>
                  <w:vAlign w:val="center"/>
                </w:tcPr>
                <w:p w:rsidR="00231F54" w:rsidRPr="008A0BA4" w:rsidRDefault="00231F54" w:rsidP="00231F54">
                  <w:pPr>
                    <w:jc w:val="center"/>
                    <w:rPr>
                      <w:rFonts w:ascii="Calibri" w:hAnsi="Calibri"/>
                      <w:sz w:val="20"/>
                      <w:szCs w:val="20"/>
                    </w:rPr>
                  </w:pPr>
                </w:p>
              </w:tc>
              <w:tc>
                <w:tcPr>
                  <w:tcW w:w="639" w:type="dxa"/>
                  <w:vAlign w:val="center"/>
                </w:tcPr>
                <w:p w:rsidR="00231F54" w:rsidRPr="008A0BA4" w:rsidRDefault="00231F54" w:rsidP="00231F54">
                  <w:pPr>
                    <w:jc w:val="center"/>
                    <w:rPr>
                      <w:rFonts w:ascii="Calibri" w:hAnsi="Calibri"/>
                      <w:sz w:val="20"/>
                      <w:szCs w:val="20"/>
                    </w:rPr>
                  </w:pPr>
                </w:p>
              </w:tc>
              <w:tc>
                <w:tcPr>
                  <w:tcW w:w="639" w:type="dxa"/>
                  <w:vAlign w:val="center"/>
                </w:tcPr>
                <w:p w:rsidR="00231F54" w:rsidRPr="008A0BA4" w:rsidRDefault="00231F54" w:rsidP="00231F54">
                  <w:pPr>
                    <w:jc w:val="center"/>
                    <w:rPr>
                      <w:rFonts w:ascii="Calibri" w:hAnsi="Calibri"/>
                      <w:sz w:val="20"/>
                      <w:szCs w:val="20"/>
                    </w:rPr>
                  </w:pPr>
                </w:p>
              </w:tc>
              <w:tc>
                <w:tcPr>
                  <w:tcW w:w="639" w:type="dxa"/>
                  <w:vAlign w:val="center"/>
                </w:tcPr>
                <w:p w:rsidR="00231F54" w:rsidRPr="008A0BA4" w:rsidRDefault="00231F54" w:rsidP="00231F54">
                  <w:pPr>
                    <w:jc w:val="center"/>
                    <w:rPr>
                      <w:rFonts w:ascii="Calibri" w:hAnsi="Calibri"/>
                      <w:sz w:val="20"/>
                      <w:szCs w:val="20"/>
                    </w:rPr>
                  </w:pPr>
                </w:p>
              </w:tc>
              <w:tc>
                <w:tcPr>
                  <w:tcW w:w="639" w:type="dxa"/>
                  <w:vAlign w:val="center"/>
                </w:tcPr>
                <w:p w:rsidR="00231F54" w:rsidRPr="008A0BA4" w:rsidRDefault="00231F54" w:rsidP="00231F54">
                  <w:pPr>
                    <w:jc w:val="center"/>
                    <w:rPr>
                      <w:rFonts w:ascii="Calibri" w:hAnsi="Calibri"/>
                      <w:sz w:val="20"/>
                      <w:szCs w:val="20"/>
                    </w:rPr>
                  </w:pPr>
                </w:p>
              </w:tc>
            </w:tr>
            <w:tr w:rsidR="00231F54" w:rsidRPr="00584BF4" w:rsidTr="00D04DE7">
              <w:trPr>
                <w:trHeight w:val="259"/>
              </w:trPr>
              <w:tc>
                <w:tcPr>
                  <w:tcW w:w="639" w:type="dxa"/>
                  <w:shd w:val="clear" w:color="auto" w:fill="auto"/>
                  <w:vAlign w:val="center"/>
                </w:tcPr>
                <w:p w:rsidR="00231F54" w:rsidRPr="008A0BA4" w:rsidRDefault="00231F54" w:rsidP="00231F54">
                  <w:pPr>
                    <w:jc w:val="right"/>
                    <w:rPr>
                      <w:rFonts w:ascii="Calibri" w:hAnsi="Calibri"/>
                      <w:sz w:val="20"/>
                      <w:szCs w:val="20"/>
                    </w:rPr>
                  </w:pPr>
                  <w:r>
                    <w:rPr>
                      <w:rFonts w:ascii="Calibri" w:hAnsi="Calibri"/>
                      <w:sz w:val="20"/>
                      <w:szCs w:val="20"/>
                    </w:rPr>
                    <w:t>6.3%</w:t>
                  </w:r>
                </w:p>
              </w:tc>
              <w:tc>
                <w:tcPr>
                  <w:tcW w:w="639" w:type="dxa"/>
                  <w:shd w:val="clear" w:color="auto" w:fill="auto"/>
                  <w:vAlign w:val="center"/>
                </w:tcPr>
                <w:p w:rsidR="00231F54" w:rsidRPr="008A0BA4" w:rsidRDefault="00231F54" w:rsidP="00231F54">
                  <w:pPr>
                    <w:jc w:val="right"/>
                    <w:rPr>
                      <w:rFonts w:ascii="Calibri" w:hAnsi="Calibri"/>
                      <w:sz w:val="20"/>
                      <w:szCs w:val="20"/>
                    </w:rPr>
                  </w:pPr>
                  <w:r>
                    <w:rPr>
                      <w:rFonts w:ascii="Calibri" w:hAnsi="Calibri"/>
                      <w:sz w:val="20"/>
                      <w:szCs w:val="20"/>
                    </w:rPr>
                    <w:t>5.9%</w:t>
                  </w:r>
                </w:p>
              </w:tc>
              <w:tc>
                <w:tcPr>
                  <w:tcW w:w="639" w:type="dxa"/>
                  <w:shd w:val="clear" w:color="auto" w:fill="auto"/>
                  <w:vAlign w:val="center"/>
                </w:tcPr>
                <w:p w:rsidR="00231F54" w:rsidRPr="008A0BA4" w:rsidRDefault="00B212B3" w:rsidP="00231F54">
                  <w:pPr>
                    <w:jc w:val="right"/>
                    <w:rPr>
                      <w:rFonts w:ascii="Calibri" w:hAnsi="Calibri"/>
                      <w:sz w:val="20"/>
                      <w:szCs w:val="20"/>
                    </w:rPr>
                  </w:pPr>
                  <w:r>
                    <w:rPr>
                      <w:rFonts w:ascii="Calibri" w:hAnsi="Calibri"/>
                      <w:sz w:val="20"/>
                      <w:szCs w:val="20"/>
                    </w:rPr>
                    <w:t>6.3</w:t>
                  </w:r>
                  <w:r w:rsidR="00231F54">
                    <w:rPr>
                      <w:rFonts w:ascii="Calibri" w:hAnsi="Calibri"/>
                      <w:sz w:val="20"/>
                      <w:szCs w:val="20"/>
                    </w:rPr>
                    <w:t>%</w:t>
                  </w:r>
                </w:p>
              </w:tc>
              <w:tc>
                <w:tcPr>
                  <w:tcW w:w="639" w:type="dxa"/>
                  <w:shd w:val="clear" w:color="auto" w:fill="auto"/>
                  <w:vAlign w:val="center"/>
                </w:tcPr>
                <w:p w:rsidR="00231F54" w:rsidRPr="008A0BA4" w:rsidRDefault="00231F54" w:rsidP="00231F54">
                  <w:pPr>
                    <w:jc w:val="right"/>
                    <w:rPr>
                      <w:rFonts w:ascii="Calibri" w:hAnsi="Calibri"/>
                      <w:sz w:val="20"/>
                      <w:szCs w:val="20"/>
                    </w:rPr>
                  </w:pPr>
                </w:p>
              </w:tc>
              <w:tc>
                <w:tcPr>
                  <w:tcW w:w="639" w:type="dxa"/>
                  <w:shd w:val="clear" w:color="auto" w:fill="auto"/>
                  <w:vAlign w:val="center"/>
                </w:tcPr>
                <w:p w:rsidR="00231F54" w:rsidRPr="008A0BA4" w:rsidRDefault="00231F54" w:rsidP="00231F54">
                  <w:pPr>
                    <w:jc w:val="right"/>
                    <w:rPr>
                      <w:rFonts w:ascii="Calibri" w:hAnsi="Calibri"/>
                      <w:sz w:val="20"/>
                      <w:szCs w:val="20"/>
                    </w:rPr>
                  </w:pPr>
                </w:p>
              </w:tc>
              <w:tc>
                <w:tcPr>
                  <w:tcW w:w="639" w:type="dxa"/>
                  <w:shd w:val="clear" w:color="auto" w:fill="auto"/>
                  <w:vAlign w:val="center"/>
                </w:tcPr>
                <w:p w:rsidR="00231F54" w:rsidRPr="008A0BA4" w:rsidRDefault="00231F54" w:rsidP="00231F54">
                  <w:pPr>
                    <w:jc w:val="right"/>
                    <w:rPr>
                      <w:rFonts w:ascii="Calibri" w:hAnsi="Calibri"/>
                      <w:sz w:val="20"/>
                      <w:szCs w:val="20"/>
                    </w:rPr>
                  </w:pPr>
                </w:p>
              </w:tc>
              <w:tc>
                <w:tcPr>
                  <w:tcW w:w="639" w:type="dxa"/>
                  <w:shd w:val="clear" w:color="auto" w:fill="auto"/>
                  <w:vAlign w:val="center"/>
                </w:tcPr>
                <w:p w:rsidR="00231F54" w:rsidRPr="008A0BA4" w:rsidRDefault="00231F54" w:rsidP="00231F54">
                  <w:pPr>
                    <w:jc w:val="right"/>
                    <w:rPr>
                      <w:rFonts w:ascii="Calibri" w:hAnsi="Calibri"/>
                      <w:sz w:val="20"/>
                      <w:szCs w:val="20"/>
                    </w:rPr>
                  </w:pPr>
                </w:p>
              </w:tc>
              <w:tc>
                <w:tcPr>
                  <w:tcW w:w="639" w:type="dxa"/>
                  <w:vAlign w:val="center"/>
                </w:tcPr>
                <w:p w:rsidR="00231F54" w:rsidRPr="008A0BA4" w:rsidRDefault="00231F54" w:rsidP="00231F54">
                  <w:pPr>
                    <w:jc w:val="right"/>
                    <w:rPr>
                      <w:rFonts w:ascii="Calibri" w:hAnsi="Calibri"/>
                      <w:sz w:val="20"/>
                      <w:szCs w:val="20"/>
                    </w:rPr>
                  </w:pPr>
                </w:p>
              </w:tc>
              <w:tc>
                <w:tcPr>
                  <w:tcW w:w="639" w:type="dxa"/>
                  <w:vAlign w:val="center"/>
                </w:tcPr>
                <w:p w:rsidR="00231F54" w:rsidRPr="008A0BA4" w:rsidRDefault="00231F54" w:rsidP="00231F54">
                  <w:pPr>
                    <w:jc w:val="right"/>
                    <w:rPr>
                      <w:rFonts w:ascii="Calibri" w:hAnsi="Calibri"/>
                      <w:sz w:val="20"/>
                      <w:szCs w:val="20"/>
                    </w:rPr>
                  </w:pPr>
                </w:p>
              </w:tc>
              <w:tc>
                <w:tcPr>
                  <w:tcW w:w="639" w:type="dxa"/>
                  <w:vAlign w:val="center"/>
                </w:tcPr>
                <w:p w:rsidR="00231F54" w:rsidRPr="008A0BA4" w:rsidRDefault="00231F54" w:rsidP="00231F54">
                  <w:pPr>
                    <w:jc w:val="right"/>
                    <w:rPr>
                      <w:rFonts w:ascii="Calibri" w:hAnsi="Calibri"/>
                      <w:sz w:val="20"/>
                      <w:szCs w:val="20"/>
                    </w:rPr>
                  </w:pPr>
                </w:p>
              </w:tc>
              <w:tc>
                <w:tcPr>
                  <w:tcW w:w="639" w:type="dxa"/>
                  <w:vAlign w:val="center"/>
                </w:tcPr>
                <w:p w:rsidR="00231F54" w:rsidRPr="008A0BA4" w:rsidRDefault="00231F54" w:rsidP="00231F54">
                  <w:pPr>
                    <w:jc w:val="right"/>
                    <w:rPr>
                      <w:rFonts w:ascii="Calibri" w:hAnsi="Calibri"/>
                      <w:sz w:val="20"/>
                      <w:szCs w:val="20"/>
                    </w:rPr>
                  </w:pPr>
                </w:p>
              </w:tc>
            </w:tr>
          </w:tbl>
          <w:p w:rsidR="00231F54" w:rsidRPr="002D4968" w:rsidRDefault="00231F54" w:rsidP="00231F54">
            <w:pPr>
              <w:rPr>
                <w:rFonts w:asciiTheme="minorHAnsi" w:hAnsiTheme="minorHAnsi"/>
                <w:sz w:val="20"/>
                <w:szCs w:val="20"/>
              </w:rPr>
            </w:pPr>
          </w:p>
        </w:tc>
      </w:tr>
      <w:tr w:rsidR="00231F54" w:rsidRPr="008F671D" w:rsidTr="00231F54">
        <w:trPr>
          <w:trHeight w:val="687"/>
        </w:trPr>
        <w:tc>
          <w:tcPr>
            <w:tcW w:w="3328" w:type="dxa"/>
            <w:shd w:val="clear" w:color="auto" w:fill="D9D9D9" w:themeFill="background1" w:themeFillShade="D9"/>
            <w:vAlign w:val="center"/>
          </w:tcPr>
          <w:p w:rsidR="00231F54" w:rsidRPr="00345E2E" w:rsidRDefault="00231F54" w:rsidP="00231F54">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231F54" w:rsidRPr="00345E2E" w:rsidRDefault="00231F54" w:rsidP="00231F54">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270" w:type="dxa"/>
            <w:gridSpan w:val="2"/>
            <w:vAlign w:val="center"/>
          </w:tcPr>
          <w:p w:rsidR="00231F54" w:rsidRPr="002D4968" w:rsidRDefault="00231F54" w:rsidP="00231F54">
            <w:pPr>
              <w:rPr>
                <w:rFonts w:asciiTheme="minorHAnsi" w:hAnsiTheme="minorHAnsi"/>
                <w:sz w:val="20"/>
                <w:szCs w:val="20"/>
              </w:rPr>
            </w:pPr>
            <w:r>
              <w:rPr>
                <w:rFonts w:asciiTheme="minorHAnsi" w:hAnsiTheme="minorHAnsi"/>
                <w:sz w:val="20"/>
              </w:rPr>
              <w:t>N/A</w:t>
            </w:r>
          </w:p>
        </w:tc>
      </w:tr>
      <w:tr w:rsidR="00231F54" w:rsidRPr="008F671D" w:rsidTr="00231F54">
        <w:trPr>
          <w:trHeight w:val="1134"/>
        </w:trPr>
        <w:tc>
          <w:tcPr>
            <w:tcW w:w="3328" w:type="dxa"/>
            <w:shd w:val="clear" w:color="auto" w:fill="D9D9D9" w:themeFill="background1" w:themeFillShade="D9"/>
            <w:vAlign w:val="center"/>
          </w:tcPr>
          <w:p w:rsidR="00231F54" w:rsidRPr="008F671D" w:rsidRDefault="00231F54" w:rsidP="00231F54">
            <w:pPr>
              <w:rPr>
                <w:rFonts w:asciiTheme="minorHAnsi" w:hAnsiTheme="minorHAnsi"/>
                <w:b/>
                <w:sz w:val="20"/>
              </w:rPr>
            </w:pPr>
            <w:r w:rsidRPr="008F671D">
              <w:rPr>
                <w:rFonts w:asciiTheme="minorHAnsi" w:hAnsiTheme="minorHAnsi"/>
                <w:b/>
                <w:sz w:val="20"/>
              </w:rPr>
              <w:t>Please indicate whether UK/RoI/International Comparisons are available:</w:t>
            </w:r>
          </w:p>
        </w:tc>
        <w:tc>
          <w:tcPr>
            <w:tcW w:w="7270" w:type="dxa"/>
            <w:gridSpan w:val="2"/>
            <w:vAlign w:val="center"/>
          </w:tcPr>
          <w:p w:rsidR="00231F54" w:rsidRDefault="00231F54" w:rsidP="00231F54">
            <w:pPr>
              <w:rPr>
                <w:rFonts w:asciiTheme="minorHAnsi" w:hAnsiTheme="minorHAnsi"/>
                <w:sz w:val="20"/>
                <w:szCs w:val="20"/>
              </w:rPr>
            </w:pPr>
          </w:p>
          <w:p w:rsidR="00231F54" w:rsidRPr="00325837" w:rsidRDefault="00231F54" w:rsidP="00231F54">
            <w:pPr>
              <w:rPr>
                <w:rFonts w:asciiTheme="minorHAnsi" w:hAnsiTheme="minorHAnsi"/>
                <w:sz w:val="20"/>
                <w:szCs w:val="20"/>
              </w:rPr>
            </w:pPr>
            <w:r w:rsidRPr="00325837">
              <w:rPr>
                <w:rFonts w:asciiTheme="minorHAnsi" w:hAnsiTheme="minorHAnsi"/>
                <w:sz w:val="20"/>
                <w:szCs w:val="20"/>
              </w:rPr>
              <w:t>UK: available</w:t>
            </w:r>
          </w:p>
          <w:p w:rsidR="00231F54" w:rsidRPr="00325837" w:rsidRDefault="00231F54" w:rsidP="00231F54">
            <w:pPr>
              <w:rPr>
                <w:rFonts w:asciiTheme="minorHAnsi" w:hAnsiTheme="minorHAnsi"/>
                <w:sz w:val="20"/>
                <w:szCs w:val="20"/>
              </w:rPr>
            </w:pPr>
            <w:r w:rsidRPr="00325837">
              <w:rPr>
                <w:rFonts w:asciiTheme="minorHAnsi" w:hAnsiTheme="minorHAnsi"/>
                <w:sz w:val="20"/>
                <w:szCs w:val="20"/>
              </w:rPr>
              <w:t>UK Regional: available</w:t>
            </w:r>
          </w:p>
          <w:p w:rsidR="00231F54" w:rsidRPr="00325837" w:rsidRDefault="00231F54" w:rsidP="00231F54">
            <w:pPr>
              <w:rPr>
                <w:rFonts w:asciiTheme="minorHAnsi" w:hAnsiTheme="minorHAnsi"/>
                <w:sz w:val="20"/>
                <w:szCs w:val="20"/>
              </w:rPr>
            </w:pPr>
            <w:r w:rsidRPr="00325837">
              <w:rPr>
                <w:rFonts w:asciiTheme="minorHAnsi" w:hAnsiTheme="minorHAnsi"/>
                <w:sz w:val="20"/>
                <w:szCs w:val="20"/>
              </w:rPr>
              <w:t>RoI: available</w:t>
            </w:r>
          </w:p>
          <w:p w:rsidR="00231F54" w:rsidRDefault="00231F54" w:rsidP="00231F54">
            <w:pPr>
              <w:rPr>
                <w:rFonts w:asciiTheme="minorHAnsi" w:hAnsiTheme="minorHAnsi"/>
                <w:sz w:val="20"/>
                <w:szCs w:val="20"/>
              </w:rPr>
            </w:pPr>
            <w:r w:rsidRPr="00325837">
              <w:rPr>
                <w:rFonts w:asciiTheme="minorHAnsi" w:hAnsiTheme="minorHAnsi"/>
                <w:sz w:val="20"/>
                <w:szCs w:val="20"/>
              </w:rPr>
              <w:t xml:space="preserve">International (please specify countries): European countries, Australia, China, </w:t>
            </w:r>
            <w:proofErr w:type="gramStart"/>
            <w:r w:rsidRPr="00325837">
              <w:rPr>
                <w:rFonts w:asciiTheme="minorHAnsi" w:hAnsiTheme="minorHAnsi"/>
                <w:sz w:val="20"/>
                <w:szCs w:val="20"/>
              </w:rPr>
              <w:t>Japan</w:t>
            </w:r>
            <w:proofErr w:type="gramEnd"/>
            <w:r w:rsidRPr="00325837">
              <w:rPr>
                <w:rFonts w:asciiTheme="minorHAnsi" w:hAnsiTheme="minorHAnsi"/>
                <w:sz w:val="20"/>
                <w:szCs w:val="20"/>
              </w:rPr>
              <w:t>.</w:t>
            </w:r>
          </w:p>
          <w:p w:rsidR="00231F54" w:rsidRPr="002D4968" w:rsidRDefault="00231F54" w:rsidP="00231F54">
            <w:pPr>
              <w:rPr>
                <w:rFonts w:asciiTheme="minorHAnsi" w:hAnsiTheme="minorHAnsi"/>
                <w:sz w:val="20"/>
                <w:szCs w:val="20"/>
              </w:rPr>
            </w:pPr>
          </w:p>
        </w:tc>
      </w:tr>
      <w:tr w:rsidR="00231F54" w:rsidRPr="008F671D" w:rsidTr="00231F54">
        <w:trPr>
          <w:trHeight w:val="1134"/>
        </w:trPr>
        <w:tc>
          <w:tcPr>
            <w:tcW w:w="3328" w:type="dxa"/>
            <w:shd w:val="clear" w:color="auto" w:fill="D9D9D9" w:themeFill="background1" w:themeFillShade="D9"/>
            <w:vAlign w:val="center"/>
          </w:tcPr>
          <w:p w:rsidR="00231F54" w:rsidRPr="008F671D" w:rsidRDefault="00231F54" w:rsidP="00231F54">
            <w:pPr>
              <w:rPr>
                <w:rFonts w:asciiTheme="minorHAnsi" w:hAnsiTheme="minorHAnsi"/>
                <w:b/>
                <w:sz w:val="20"/>
              </w:rPr>
            </w:pPr>
            <w:r w:rsidRPr="008F671D">
              <w:rPr>
                <w:rFonts w:asciiTheme="minorHAnsi" w:hAnsiTheme="minorHAnsi"/>
                <w:b/>
                <w:sz w:val="20"/>
              </w:rPr>
              <w:t>Please specify any</w:t>
            </w:r>
            <w:r>
              <w:rPr>
                <w:rFonts w:asciiTheme="minorHAnsi" w:hAnsiTheme="minorHAnsi"/>
                <w:b/>
                <w:sz w:val="20"/>
              </w:rPr>
              <w:t xml:space="preserve"> issues </w:t>
            </w:r>
            <w:r w:rsidRPr="008F671D">
              <w:rPr>
                <w:rFonts w:asciiTheme="minorHAnsi" w:hAnsiTheme="minorHAnsi"/>
                <w:b/>
                <w:sz w:val="20"/>
              </w:rPr>
              <w:t xml:space="preserve">in relation to </w:t>
            </w:r>
            <w:r>
              <w:rPr>
                <w:rFonts w:asciiTheme="minorHAnsi" w:hAnsiTheme="minorHAnsi"/>
                <w:b/>
                <w:sz w:val="20"/>
              </w:rPr>
              <w:t xml:space="preserve">this data. For example, data limitations, future </w:t>
            </w:r>
            <w:r w:rsidRPr="008F671D">
              <w:rPr>
                <w:rFonts w:asciiTheme="minorHAnsi" w:hAnsiTheme="minorHAnsi"/>
                <w:b/>
                <w:sz w:val="20"/>
              </w:rPr>
              <w:t>data availability</w:t>
            </w:r>
            <w:r>
              <w:rPr>
                <w:rFonts w:asciiTheme="minorHAnsi" w:hAnsiTheme="minorHAnsi"/>
                <w:b/>
                <w:sz w:val="20"/>
              </w:rPr>
              <w:t>, any</w:t>
            </w:r>
            <w:r w:rsidRPr="008F671D">
              <w:rPr>
                <w:rFonts w:asciiTheme="minorHAnsi" w:hAnsiTheme="minorHAnsi"/>
                <w:b/>
                <w:sz w:val="20"/>
              </w:rPr>
              <w:t xml:space="preserve"> changes to methodology </w:t>
            </w:r>
          </w:p>
        </w:tc>
        <w:tc>
          <w:tcPr>
            <w:tcW w:w="7270" w:type="dxa"/>
            <w:gridSpan w:val="2"/>
            <w:vAlign w:val="center"/>
          </w:tcPr>
          <w:p w:rsidR="00231F54" w:rsidRDefault="00231F54" w:rsidP="00231F54">
            <w:pPr>
              <w:rPr>
                <w:rFonts w:asciiTheme="minorHAnsi" w:hAnsiTheme="minorHAnsi"/>
                <w:b/>
                <w:sz w:val="20"/>
                <w:szCs w:val="20"/>
                <w:u w:val="single"/>
              </w:rPr>
            </w:pPr>
          </w:p>
          <w:p w:rsidR="00231F54" w:rsidRDefault="00231F54" w:rsidP="00231F54">
            <w:pPr>
              <w:rPr>
                <w:rFonts w:asciiTheme="minorHAnsi" w:hAnsiTheme="minorHAnsi"/>
                <w:sz w:val="20"/>
                <w:szCs w:val="20"/>
              </w:rPr>
            </w:pPr>
            <w:r w:rsidRPr="00365E7E">
              <w:rPr>
                <w:rFonts w:asciiTheme="minorHAnsi" w:hAnsiTheme="minorHAnsi"/>
                <w:b/>
                <w:sz w:val="20"/>
                <w:szCs w:val="20"/>
                <w:u w:val="single"/>
              </w:rPr>
              <w:t>Please note</w:t>
            </w:r>
            <w:r w:rsidRPr="00365E7E">
              <w:rPr>
                <w:rFonts w:asciiTheme="minorHAnsi" w:hAnsiTheme="minorHAnsi"/>
                <w:b/>
                <w:sz w:val="20"/>
                <w:szCs w:val="20"/>
              </w:rPr>
              <w:t xml:space="preserve"> </w:t>
            </w:r>
            <w:r w:rsidRPr="00365E7E">
              <w:rPr>
                <w:rFonts w:asciiTheme="minorHAnsi" w:hAnsiTheme="minorHAnsi"/>
                <w:sz w:val="20"/>
                <w:szCs w:val="20"/>
              </w:rPr>
              <w:t xml:space="preserve">that </w:t>
            </w:r>
            <w:r w:rsidRPr="00DA0969">
              <w:rPr>
                <w:rFonts w:asciiTheme="minorHAnsi" w:hAnsiTheme="minorHAnsi"/>
                <w:sz w:val="20"/>
                <w:szCs w:val="20"/>
              </w:rPr>
              <w:t>prior to 2017, data used in the production of low birth weight statistics were provided from each of the HSC Trust Child Health Systems (CHS). From 2017 onwards figures are produced directly from the Northern Ireland Maternity System (NIMATS) by Information &amp; Analysis Directorate (IAD). Low birth weight data from NIMATs data is used to populate the Trust CHS so data from the two systems should be consistent. IAD have investigated historic data to ensure that previously published data obtained through CHS was wholly consistent with that held on NIMATS.</w:t>
            </w:r>
          </w:p>
          <w:p w:rsidR="00231F54" w:rsidRDefault="00231F54" w:rsidP="00231F54">
            <w:pPr>
              <w:rPr>
                <w:rFonts w:asciiTheme="minorHAnsi" w:hAnsiTheme="minorHAnsi"/>
                <w:sz w:val="20"/>
                <w:szCs w:val="20"/>
              </w:rPr>
            </w:pPr>
          </w:p>
          <w:p w:rsidR="00231F54" w:rsidRPr="00365E7E" w:rsidRDefault="00231F54" w:rsidP="00231F54">
            <w:pPr>
              <w:rPr>
                <w:rFonts w:asciiTheme="minorHAnsi" w:hAnsiTheme="minorHAnsi"/>
                <w:sz w:val="20"/>
                <w:szCs w:val="20"/>
              </w:rPr>
            </w:pPr>
            <w:r w:rsidRPr="00365E7E">
              <w:rPr>
                <w:rFonts w:asciiTheme="minorHAnsi" w:hAnsiTheme="minorHAnsi"/>
                <w:sz w:val="20"/>
                <w:szCs w:val="20"/>
              </w:rPr>
              <w:t xml:space="preserve">Although data are produced for single years, they can be produced for 5-year cohorts (e.g. 2010-2014) or 3-year to allow for sub-regional breakdowns. </w:t>
            </w:r>
          </w:p>
          <w:p w:rsidR="00231F54" w:rsidRPr="00365E7E" w:rsidRDefault="00231F54" w:rsidP="00231F54">
            <w:pPr>
              <w:rPr>
                <w:rFonts w:asciiTheme="minorHAnsi" w:hAnsiTheme="minorHAnsi"/>
                <w:sz w:val="20"/>
                <w:szCs w:val="20"/>
              </w:rPr>
            </w:pPr>
            <w:r w:rsidRPr="00365E7E">
              <w:rPr>
                <w:rFonts w:asciiTheme="minorHAnsi" w:hAnsiTheme="minorHAnsi"/>
                <w:sz w:val="20"/>
                <w:szCs w:val="20"/>
              </w:rPr>
              <w:t xml:space="preserve"> </w:t>
            </w:r>
          </w:p>
        </w:tc>
      </w:tr>
      <w:tr w:rsidR="00231F54" w:rsidRPr="008F671D" w:rsidTr="00231F54">
        <w:trPr>
          <w:trHeight w:val="340"/>
        </w:trPr>
        <w:tc>
          <w:tcPr>
            <w:tcW w:w="9139" w:type="dxa"/>
            <w:gridSpan w:val="2"/>
            <w:shd w:val="clear" w:color="auto" w:fill="D9D9D9" w:themeFill="background1" w:themeFillShade="D9"/>
            <w:vAlign w:val="center"/>
          </w:tcPr>
          <w:p w:rsidR="00231F54" w:rsidRPr="00907690" w:rsidRDefault="00231F54" w:rsidP="00231F54">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1459"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No</w:t>
            </w:r>
          </w:p>
        </w:tc>
      </w:tr>
      <w:tr w:rsidR="00231F54" w:rsidRPr="008F671D" w:rsidTr="00231F54">
        <w:tc>
          <w:tcPr>
            <w:tcW w:w="9139" w:type="dxa"/>
            <w:gridSpan w:val="2"/>
            <w:shd w:val="clear" w:color="auto" w:fill="D9D9D9" w:themeFill="background1" w:themeFillShade="D9"/>
            <w:vAlign w:val="center"/>
          </w:tcPr>
          <w:p w:rsidR="00231F54" w:rsidRPr="00907690" w:rsidRDefault="00231F54" w:rsidP="00231F54">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1459"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N/A</w:t>
            </w:r>
          </w:p>
        </w:tc>
      </w:tr>
    </w:tbl>
    <w:p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5B441A" w:rsidRPr="00DC13FC" w:rsidRDefault="005B441A" w:rsidP="00F945FE">
            <w:pPr>
              <w:rPr>
                <w:rFonts w:asciiTheme="minorHAnsi" w:hAnsiTheme="minorHAnsi"/>
                <w:sz w:val="20"/>
                <w:szCs w:val="20"/>
              </w:rPr>
            </w:pPr>
          </w:p>
        </w:tc>
      </w:tr>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5B441A" w:rsidRPr="00DC13FC" w:rsidRDefault="00231F54" w:rsidP="00F945FE">
            <w:pPr>
              <w:rPr>
                <w:rFonts w:asciiTheme="minorHAnsi" w:hAnsiTheme="minorHAnsi"/>
                <w:sz w:val="20"/>
                <w:szCs w:val="20"/>
              </w:rPr>
            </w:pPr>
            <w:r>
              <w:rPr>
                <w:rFonts w:asciiTheme="minorHAnsi" w:hAnsiTheme="minorHAnsi"/>
                <w:sz w:val="20"/>
                <w:szCs w:val="20"/>
              </w:rPr>
              <w:t>2014</w:t>
            </w:r>
          </w:p>
        </w:tc>
      </w:tr>
      <w:tr w:rsidR="005B441A" w:rsidRPr="00DC13FC" w:rsidTr="005B441A">
        <w:trPr>
          <w:trHeight w:val="496"/>
        </w:trPr>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230" w:type="dxa"/>
          </w:tcPr>
          <w:p w:rsidR="005B441A" w:rsidRPr="00DC13FC" w:rsidRDefault="00231F54" w:rsidP="003C4441">
            <w:pPr>
              <w:rPr>
                <w:rFonts w:asciiTheme="minorHAnsi" w:hAnsiTheme="minorHAnsi"/>
                <w:sz w:val="20"/>
                <w:szCs w:val="20"/>
              </w:rPr>
            </w:pPr>
            <w:r w:rsidRPr="00231F54">
              <w:rPr>
                <w:rFonts w:asciiTheme="minorHAnsi" w:hAnsiTheme="minorHAnsi"/>
                <w:sz w:val="20"/>
                <w:szCs w:val="20"/>
              </w:rPr>
              <w:t>Only when the % of low birth weight either falls or rises by 0.2 percentage points (1 Standard Deviation around the baseline), would any change be deemed substantial.</w:t>
            </w:r>
          </w:p>
        </w:tc>
      </w:tr>
    </w:tbl>
    <w:p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rsidTr="00823C0A">
        <w:trPr>
          <w:trHeight w:val="454"/>
        </w:trPr>
        <w:tc>
          <w:tcPr>
            <w:tcW w:w="4219" w:type="dxa"/>
            <w:tcBorders>
              <w:top w:val="nil"/>
              <w:left w:val="nil"/>
            </w:tcBorders>
            <w:shd w:val="clear" w:color="auto" w:fill="auto"/>
            <w:vAlign w:val="center"/>
          </w:tcPr>
          <w:p w:rsidR="00BD4124" w:rsidRPr="008F671D" w:rsidRDefault="00823C0A" w:rsidP="00FB47D0">
            <w:pPr>
              <w:rPr>
                <w:rFonts w:asciiTheme="minorHAnsi" w:hAnsiTheme="minorHAnsi"/>
                <w:b/>
                <w:sz w:val="20"/>
              </w:rPr>
            </w:pPr>
            <w:r>
              <w:rPr>
                <w:rFonts w:asciiTheme="minorHAnsi" w:hAnsiTheme="minorHAnsi"/>
                <w:b/>
                <w:sz w:val="20"/>
                <w:szCs w:val="20"/>
              </w:rPr>
              <w:lastRenderedPageBreak/>
              <w:t>Available groupings*</w:t>
            </w:r>
          </w:p>
        </w:tc>
        <w:tc>
          <w:tcPr>
            <w:tcW w:w="903"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Yes</w:t>
            </w:r>
          </w:p>
        </w:tc>
        <w:tc>
          <w:tcPr>
            <w:tcW w:w="4536" w:type="dxa"/>
            <w:vAlign w:val="center"/>
          </w:tcPr>
          <w:p w:rsidR="00231F54" w:rsidRPr="00325837" w:rsidRDefault="00231F54" w:rsidP="00231F54">
            <w:pPr>
              <w:rPr>
                <w:rFonts w:asciiTheme="minorHAnsi" w:hAnsiTheme="minorHAnsi"/>
                <w:sz w:val="20"/>
                <w:szCs w:val="20"/>
              </w:rPr>
            </w:pP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Yes</w:t>
            </w:r>
          </w:p>
        </w:tc>
        <w:tc>
          <w:tcPr>
            <w:tcW w:w="4536" w:type="dxa"/>
            <w:vAlign w:val="center"/>
          </w:tcPr>
          <w:p w:rsidR="00231F54" w:rsidRPr="00325837" w:rsidRDefault="00231F54" w:rsidP="00231F54">
            <w:pPr>
              <w:rPr>
                <w:rFonts w:asciiTheme="minorHAnsi" w:hAnsiTheme="minorHAnsi"/>
                <w:sz w:val="20"/>
                <w:szCs w:val="20"/>
              </w:rPr>
            </w:pP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Yes</w:t>
            </w:r>
          </w:p>
        </w:tc>
        <w:tc>
          <w:tcPr>
            <w:tcW w:w="4536" w:type="dxa"/>
            <w:vAlign w:val="center"/>
          </w:tcPr>
          <w:p w:rsidR="00231F54" w:rsidRPr="00325837" w:rsidRDefault="00231F54" w:rsidP="00231F54">
            <w:pPr>
              <w:rPr>
                <w:rFonts w:asciiTheme="minorHAnsi" w:hAnsiTheme="minorHAnsi"/>
                <w:sz w:val="20"/>
                <w:szCs w:val="20"/>
              </w:rPr>
            </w:pP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Yes</w:t>
            </w:r>
          </w:p>
        </w:tc>
        <w:tc>
          <w:tcPr>
            <w:tcW w:w="4536" w:type="dxa"/>
            <w:vAlign w:val="center"/>
          </w:tcPr>
          <w:p w:rsidR="00231F54" w:rsidRPr="00325837" w:rsidRDefault="00231F54" w:rsidP="00231F54">
            <w:pPr>
              <w:rPr>
                <w:rFonts w:asciiTheme="minorHAnsi" w:hAnsiTheme="minorHAnsi"/>
                <w:sz w:val="20"/>
                <w:szCs w:val="20"/>
              </w:rPr>
            </w:pP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Yes</w:t>
            </w:r>
          </w:p>
        </w:tc>
        <w:tc>
          <w:tcPr>
            <w:tcW w:w="4536" w:type="dxa"/>
            <w:vAlign w:val="center"/>
          </w:tcPr>
          <w:p w:rsidR="00231F54" w:rsidRPr="00325837" w:rsidRDefault="00231F54" w:rsidP="00231F54">
            <w:pPr>
              <w:rPr>
                <w:rFonts w:asciiTheme="minorHAnsi" w:hAnsiTheme="minorHAnsi"/>
                <w:sz w:val="20"/>
                <w:szCs w:val="20"/>
              </w:rPr>
            </w:pP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No</w:t>
            </w:r>
          </w:p>
        </w:tc>
        <w:tc>
          <w:tcPr>
            <w:tcW w:w="4536" w:type="dxa"/>
            <w:vAlign w:val="center"/>
          </w:tcPr>
          <w:p w:rsidR="00231F54" w:rsidRPr="00325837" w:rsidRDefault="00231F54" w:rsidP="00231F54">
            <w:pPr>
              <w:rPr>
                <w:rFonts w:asciiTheme="minorHAnsi" w:hAnsiTheme="minorHAnsi"/>
                <w:sz w:val="20"/>
                <w:szCs w:val="20"/>
              </w:rPr>
            </w:pP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231F54" w:rsidRPr="00325837" w:rsidRDefault="00231F54" w:rsidP="00231F54">
            <w:pPr>
              <w:rPr>
                <w:rFonts w:asciiTheme="minorHAnsi" w:hAnsiTheme="minorHAnsi"/>
                <w:sz w:val="20"/>
                <w:szCs w:val="20"/>
              </w:rPr>
            </w:pPr>
            <w:r>
              <w:rPr>
                <w:rFonts w:asciiTheme="minorHAnsi" w:hAnsiTheme="minorHAnsi"/>
                <w:sz w:val="20"/>
                <w:szCs w:val="20"/>
              </w:rPr>
              <w:t>No</w:t>
            </w:r>
          </w:p>
        </w:tc>
        <w:tc>
          <w:tcPr>
            <w:tcW w:w="4536"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Not appropriate</w:t>
            </w: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No</w:t>
            </w:r>
          </w:p>
        </w:tc>
        <w:tc>
          <w:tcPr>
            <w:tcW w:w="4536" w:type="dxa"/>
            <w:vAlign w:val="center"/>
          </w:tcPr>
          <w:p w:rsidR="00231F54" w:rsidRPr="00325837" w:rsidRDefault="00231F54" w:rsidP="00231F54">
            <w:pPr>
              <w:rPr>
                <w:rFonts w:asciiTheme="minorHAnsi" w:hAnsiTheme="minorHAnsi"/>
                <w:sz w:val="20"/>
                <w:szCs w:val="20"/>
              </w:rPr>
            </w:pP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No</w:t>
            </w:r>
          </w:p>
        </w:tc>
        <w:tc>
          <w:tcPr>
            <w:tcW w:w="4536" w:type="dxa"/>
            <w:vAlign w:val="center"/>
          </w:tcPr>
          <w:p w:rsidR="00231F54" w:rsidRPr="00325837" w:rsidRDefault="00231F54" w:rsidP="00231F54">
            <w:pPr>
              <w:rPr>
                <w:rFonts w:asciiTheme="minorHAnsi" w:hAnsiTheme="minorHAnsi"/>
                <w:sz w:val="20"/>
                <w:szCs w:val="20"/>
              </w:rPr>
            </w:pP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No</w:t>
            </w:r>
          </w:p>
        </w:tc>
        <w:tc>
          <w:tcPr>
            <w:tcW w:w="4536" w:type="dxa"/>
            <w:vAlign w:val="center"/>
          </w:tcPr>
          <w:p w:rsidR="00231F54" w:rsidRPr="00325837" w:rsidRDefault="00231F54" w:rsidP="00231F54">
            <w:pPr>
              <w:rPr>
                <w:rFonts w:asciiTheme="minorHAnsi" w:hAnsiTheme="minorHAnsi"/>
                <w:sz w:val="20"/>
                <w:szCs w:val="20"/>
              </w:rPr>
            </w:pP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No</w:t>
            </w:r>
          </w:p>
        </w:tc>
        <w:tc>
          <w:tcPr>
            <w:tcW w:w="4536" w:type="dxa"/>
            <w:vAlign w:val="center"/>
          </w:tcPr>
          <w:p w:rsidR="00231F54" w:rsidRPr="00325837" w:rsidRDefault="00231F54" w:rsidP="00231F54">
            <w:pPr>
              <w:rPr>
                <w:rFonts w:asciiTheme="minorHAnsi" w:hAnsiTheme="minorHAnsi"/>
                <w:sz w:val="20"/>
                <w:szCs w:val="20"/>
              </w:rPr>
            </w:pP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No</w:t>
            </w:r>
          </w:p>
        </w:tc>
        <w:tc>
          <w:tcPr>
            <w:tcW w:w="4536" w:type="dxa"/>
            <w:vAlign w:val="center"/>
          </w:tcPr>
          <w:p w:rsidR="00231F54" w:rsidRPr="00325837" w:rsidRDefault="00231F54" w:rsidP="00231F54">
            <w:pPr>
              <w:rPr>
                <w:rFonts w:asciiTheme="minorHAnsi" w:hAnsiTheme="minorHAnsi"/>
                <w:sz w:val="20"/>
                <w:szCs w:val="20"/>
              </w:rPr>
            </w:pP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No</w:t>
            </w:r>
          </w:p>
        </w:tc>
        <w:tc>
          <w:tcPr>
            <w:tcW w:w="4536" w:type="dxa"/>
            <w:vAlign w:val="center"/>
          </w:tcPr>
          <w:p w:rsidR="00231F54" w:rsidRPr="00325837" w:rsidRDefault="00231F54" w:rsidP="00231F54">
            <w:pPr>
              <w:rPr>
                <w:rFonts w:asciiTheme="minorHAnsi" w:hAnsiTheme="minorHAnsi"/>
                <w:sz w:val="20"/>
                <w:szCs w:val="20"/>
              </w:rPr>
            </w:pPr>
          </w:p>
        </w:tc>
      </w:tr>
      <w:tr w:rsidR="00231F54" w:rsidRPr="008F671D" w:rsidTr="00823C0A">
        <w:trPr>
          <w:trHeight w:val="454"/>
        </w:trPr>
        <w:tc>
          <w:tcPr>
            <w:tcW w:w="4219" w:type="dxa"/>
            <w:shd w:val="clear" w:color="auto" w:fill="D9D9D9" w:themeFill="background1" w:themeFillShade="D9"/>
            <w:vAlign w:val="center"/>
          </w:tcPr>
          <w:p w:rsidR="00231F54" w:rsidRPr="00345E2E" w:rsidRDefault="00231F54" w:rsidP="00231F54">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No</w:t>
            </w:r>
          </w:p>
        </w:tc>
        <w:tc>
          <w:tcPr>
            <w:tcW w:w="4536" w:type="dxa"/>
            <w:vAlign w:val="center"/>
          </w:tcPr>
          <w:p w:rsidR="00231F54" w:rsidRPr="00325837" w:rsidRDefault="00231F54" w:rsidP="00231F54">
            <w:pPr>
              <w:rPr>
                <w:rFonts w:asciiTheme="minorHAnsi" w:hAnsiTheme="minorHAnsi"/>
                <w:sz w:val="20"/>
                <w:szCs w:val="20"/>
              </w:rPr>
            </w:pPr>
          </w:p>
        </w:tc>
      </w:tr>
      <w:tr w:rsidR="00231F54" w:rsidRPr="008F671D" w:rsidTr="00823C0A">
        <w:trPr>
          <w:trHeight w:val="454"/>
        </w:trPr>
        <w:tc>
          <w:tcPr>
            <w:tcW w:w="4219" w:type="dxa"/>
            <w:shd w:val="clear" w:color="auto" w:fill="D9D9D9" w:themeFill="background1" w:themeFillShade="D9"/>
            <w:vAlign w:val="center"/>
          </w:tcPr>
          <w:p w:rsidR="00231F54" w:rsidRPr="004C2627" w:rsidRDefault="00231F54" w:rsidP="00231F54">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231F54" w:rsidRPr="00325837" w:rsidRDefault="00231F54" w:rsidP="00231F54">
            <w:pPr>
              <w:rPr>
                <w:rFonts w:asciiTheme="minorHAnsi" w:hAnsiTheme="minorHAnsi"/>
                <w:sz w:val="20"/>
                <w:szCs w:val="20"/>
              </w:rPr>
            </w:pPr>
            <w:r w:rsidRPr="00325837">
              <w:rPr>
                <w:rFonts w:asciiTheme="minorHAnsi" w:hAnsiTheme="minorHAnsi"/>
                <w:sz w:val="20"/>
                <w:szCs w:val="20"/>
              </w:rPr>
              <w:t>District Electoral Area</w:t>
            </w:r>
          </w:p>
        </w:tc>
      </w:tr>
    </w:tbl>
    <w:bookmarkEnd w:id="0"/>
    <w:p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A85CFB" w:rsidSect="008F671D">
      <w:headerReference w:type="default" r:id="rId9"/>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E52" w:rsidRDefault="00503E52" w:rsidP="008F671D">
      <w:r>
        <w:separator/>
      </w:r>
    </w:p>
  </w:endnote>
  <w:endnote w:type="continuationSeparator" w:id="0">
    <w:p w:rsidR="00503E52" w:rsidRDefault="00503E52"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E52" w:rsidRDefault="00503E52" w:rsidP="008F671D">
      <w:r>
        <w:separator/>
      </w:r>
    </w:p>
  </w:footnote>
  <w:footnote w:type="continuationSeparator" w:id="0">
    <w:p w:rsidR="00503E52" w:rsidRDefault="00503E52"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200B0"/>
    <w:rsid w:val="000515AB"/>
    <w:rsid w:val="000531B5"/>
    <w:rsid w:val="00060B9C"/>
    <w:rsid w:val="000660A1"/>
    <w:rsid w:val="0006771F"/>
    <w:rsid w:val="0008741F"/>
    <w:rsid w:val="00095AB2"/>
    <w:rsid w:val="000B1BD2"/>
    <w:rsid w:val="000E43D4"/>
    <w:rsid w:val="000E75A3"/>
    <w:rsid w:val="00113C75"/>
    <w:rsid w:val="00127A62"/>
    <w:rsid w:val="001425E1"/>
    <w:rsid w:val="001668A0"/>
    <w:rsid w:val="001849F8"/>
    <w:rsid w:val="001863BB"/>
    <w:rsid w:val="001C2C68"/>
    <w:rsid w:val="001D1AD8"/>
    <w:rsid w:val="001D69FA"/>
    <w:rsid w:val="001F141E"/>
    <w:rsid w:val="002275CC"/>
    <w:rsid w:val="00231F54"/>
    <w:rsid w:val="00235BC7"/>
    <w:rsid w:val="00254DA2"/>
    <w:rsid w:val="00282FAE"/>
    <w:rsid w:val="002C160C"/>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6FDF"/>
    <w:rsid w:val="003F0FF6"/>
    <w:rsid w:val="003F1D3A"/>
    <w:rsid w:val="003F74DA"/>
    <w:rsid w:val="00404AD8"/>
    <w:rsid w:val="00423C1B"/>
    <w:rsid w:val="00465B3F"/>
    <w:rsid w:val="00490179"/>
    <w:rsid w:val="0049269F"/>
    <w:rsid w:val="004A24D7"/>
    <w:rsid w:val="004D6771"/>
    <w:rsid w:val="004E4C07"/>
    <w:rsid w:val="00503E52"/>
    <w:rsid w:val="00535359"/>
    <w:rsid w:val="00542BC4"/>
    <w:rsid w:val="005A4695"/>
    <w:rsid w:val="005B441A"/>
    <w:rsid w:val="005B69FE"/>
    <w:rsid w:val="005C79AD"/>
    <w:rsid w:val="005E386D"/>
    <w:rsid w:val="005F603B"/>
    <w:rsid w:val="00611CCE"/>
    <w:rsid w:val="006B0988"/>
    <w:rsid w:val="006D6E49"/>
    <w:rsid w:val="007321E3"/>
    <w:rsid w:val="007348B0"/>
    <w:rsid w:val="00735E57"/>
    <w:rsid w:val="00770017"/>
    <w:rsid w:val="007712CC"/>
    <w:rsid w:val="007841CC"/>
    <w:rsid w:val="007D0190"/>
    <w:rsid w:val="007D4CA2"/>
    <w:rsid w:val="00806A6E"/>
    <w:rsid w:val="00823C0A"/>
    <w:rsid w:val="00837F05"/>
    <w:rsid w:val="00882FF5"/>
    <w:rsid w:val="008B6781"/>
    <w:rsid w:val="008F167D"/>
    <w:rsid w:val="008F671D"/>
    <w:rsid w:val="00900676"/>
    <w:rsid w:val="009373F2"/>
    <w:rsid w:val="0094608E"/>
    <w:rsid w:val="00952736"/>
    <w:rsid w:val="009744B1"/>
    <w:rsid w:val="00977923"/>
    <w:rsid w:val="00980EC4"/>
    <w:rsid w:val="009C1900"/>
    <w:rsid w:val="009C41FB"/>
    <w:rsid w:val="00A0388B"/>
    <w:rsid w:val="00A422E3"/>
    <w:rsid w:val="00A42C48"/>
    <w:rsid w:val="00A42FCB"/>
    <w:rsid w:val="00A4566B"/>
    <w:rsid w:val="00A535C2"/>
    <w:rsid w:val="00A71F94"/>
    <w:rsid w:val="00A85CFB"/>
    <w:rsid w:val="00AA3C83"/>
    <w:rsid w:val="00AE2092"/>
    <w:rsid w:val="00AE6B78"/>
    <w:rsid w:val="00AF7E1A"/>
    <w:rsid w:val="00B151E2"/>
    <w:rsid w:val="00B212B3"/>
    <w:rsid w:val="00B6370C"/>
    <w:rsid w:val="00B8684A"/>
    <w:rsid w:val="00BD4124"/>
    <w:rsid w:val="00C305E8"/>
    <w:rsid w:val="00C5024A"/>
    <w:rsid w:val="00C50CB4"/>
    <w:rsid w:val="00C95F71"/>
    <w:rsid w:val="00CA12E6"/>
    <w:rsid w:val="00CC4122"/>
    <w:rsid w:val="00CC548C"/>
    <w:rsid w:val="00CD441C"/>
    <w:rsid w:val="00CE3F7A"/>
    <w:rsid w:val="00D172FC"/>
    <w:rsid w:val="00DB2A18"/>
    <w:rsid w:val="00E14E8E"/>
    <w:rsid w:val="00E5374D"/>
    <w:rsid w:val="00E64CD3"/>
    <w:rsid w:val="00ED6FEE"/>
    <w:rsid w:val="00EF2DD6"/>
    <w:rsid w:val="00EF610E"/>
    <w:rsid w:val="00F16D3B"/>
    <w:rsid w:val="00F2310C"/>
    <w:rsid w:val="00F35BC1"/>
    <w:rsid w:val="00F47F63"/>
    <w:rsid w:val="00F778CC"/>
    <w:rsid w:val="00F81E8B"/>
    <w:rsid w:val="00FA749E"/>
    <w:rsid w:val="00FB47D0"/>
    <w:rsid w:val="00FC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i.gov.uk/articles/public-health-statist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4BE3E-4B0D-46C8-BD40-E118D454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Hannah Blakley</cp:lastModifiedBy>
  <cp:revision>4</cp:revision>
  <cp:lastPrinted>2016-04-11T13:16:00Z</cp:lastPrinted>
  <dcterms:created xsi:type="dcterms:W3CDTF">2020-01-14T15:38:00Z</dcterms:created>
  <dcterms:modified xsi:type="dcterms:W3CDTF">2020-02-14T08:43:00Z</dcterms:modified>
</cp:coreProperties>
</file>