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AC0C49" w:rsidRPr="008F671D" w:rsidTr="00882FF5">
        <w:trPr>
          <w:trHeight w:val="397"/>
        </w:trPr>
        <w:tc>
          <w:tcPr>
            <w:tcW w:w="3397" w:type="dxa"/>
            <w:shd w:val="clear" w:color="auto" w:fill="D9D9D9" w:themeFill="background1" w:themeFillShade="D9"/>
            <w:vAlign w:val="center"/>
          </w:tcPr>
          <w:p w:rsidR="00AC0C49" w:rsidRPr="002D4968" w:rsidRDefault="00AC0C49" w:rsidP="00AC0C49">
            <w:pPr>
              <w:rPr>
                <w:rFonts w:asciiTheme="minorHAnsi" w:hAnsiTheme="minorHAnsi"/>
                <w:b/>
                <w:sz w:val="20"/>
                <w:szCs w:val="20"/>
              </w:rPr>
            </w:pPr>
            <w:bookmarkStart w:id="0" w:name="OLE_LINK1"/>
            <w:r w:rsidRPr="002D4968">
              <w:rPr>
                <w:rFonts w:asciiTheme="minorHAnsi" w:hAnsiTheme="minorHAnsi"/>
                <w:b/>
                <w:sz w:val="20"/>
                <w:szCs w:val="20"/>
              </w:rPr>
              <w:t>Indicator</w:t>
            </w:r>
            <w:r w:rsidR="003E34F5">
              <w:rPr>
                <w:rFonts w:asciiTheme="minorHAnsi" w:hAnsiTheme="minorHAnsi"/>
                <w:b/>
                <w:sz w:val="20"/>
                <w:szCs w:val="20"/>
              </w:rPr>
              <w:t xml:space="preserve"> 4</w:t>
            </w:r>
            <w:bookmarkStart w:id="1" w:name="_GoBack"/>
            <w:bookmarkEnd w:id="1"/>
            <w:r w:rsidRPr="002D4968">
              <w:rPr>
                <w:rFonts w:asciiTheme="minorHAnsi" w:hAnsiTheme="minorHAnsi"/>
                <w:b/>
                <w:sz w:val="20"/>
                <w:szCs w:val="20"/>
              </w:rPr>
              <w:t>:</w:t>
            </w:r>
          </w:p>
        </w:tc>
        <w:tc>
          <w:tcPr>
            <w:tcW w:w="7201" w:type="dxa"/>
            <w:vAlign w:val="center"/>
          </w:tcPr>
          <w:p w:rsidR="00AC0C49" w:rsidRPr="008E612A" w:rsidRDefault="00AC0C49" w:rsidP="00AC0C49">
            <w:pPr>
              <w:rPr>
                <w:rFonts w:asciiTheme="minorHAnsi" w:hAnsiTheme="minorHAnsi"/>
                <w:b/>
                <w:sz w:val="20"/>
                <w:szCs w:val="20"/>
              </w:rPr>
            </w:pPr>
            <w:r>
              <w:rPr>
                <w:rFonts w:asciiTheme="minorHAnsi" w:hAnsiTheme="minorHAnsi" w:cs="Arial"/>
                <w:b/>
                <w:sz w:val="20"/>
              </w:rPr>
              <w:t>Preventable Mortality</w:t>
            </w:r>
          </w:p>
        </w:tc>
      </w:tr>
    </w:tbl>
    <w:p w:rsidR="00FB47D0" w:rsidRPr="008F671D" w:rsidRDefault="00FB47D0">
      <w:pPr>
        <w:rPr>
          <w:rFonts w:asciiTheme="minorHAnsi" w:hAnsiTheme="minorHAnsi"/>
        </w:rPr>
      </w:pPr>
    </w:p>
    <w:tbl>
      <w:tblPr>
        <w:tblStyle w:val="TableGrid"/>
        <w:tblW w:w="10598" w:type="dxa"/>
        <w:tblLayout w:type="fixed"/>
        <w:tblLook w:val="04A0" w:firstRow="1" w:lastRow="0" w:firstColumn="1" w:lastColumn="0" w:noHBand="0" w:noVBand="1"/>
      </w:tblPr>
      <w:tblGrid>
        <w:gridCol w:w="3397"/>
        <w:gridCol w:w="5742"/>
        <w:gridCol w:w="1459"/>
      </w:tblGrid>
      <w:tr w:rsidR="00231F54" w:rsidRPr="008F671D" w:rsidTr="00AC0C49">
        <w:trPr>
          <w:trHeight w:val="340"/>
        </w:trPr>
        <w:tc>
          <w:tcPr>
            <w:tcW w:w="3397"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01" w:type="dxa"/>
            <w:gridSpan w:val="2"/>
            <w:vAlign w:val="center"/>
          </w:tcPr>
          <w:p w:rsidR="00231F54" w:rsidRPr="002D4968" w:rsidRDefault="00231F54" w:rsidP="00231F54">
            <w:pPr>
              <w:rPr>
                <w:rFonts w:asciiTheme="minorHAnsi" w:hAnsiTheme="minorHAnsi"/>
                <w:b/>
                <w:sz w:val="20"/>
                <w:szCs w:val="20"/>
              </w:rPr>
            </w:pPr>
            <w:r w:rsidRPr="002D4968">
              <w:rPr>
                <w:rFonts w:asciiTheme="minorHAnsi" w:hAnsiTheme="minorHAnsi"/>
                <w:sz w:val="20"/>
                <w:szCs w:val="20"/>
              </w:rPr>
              <w:t>Bill Stewart, Department of Health</w:t>
            </w:r>
          </w:p>
        </w:tc>
      </w:tr>
      <w:tr w:rsidR="00231F54" w:rsidRPr="008F671D" w:rsidTr="00AC0C49">
        <w:trPr>
          <w:trHeight w:val="340"/>
        </w:trPr>
        <w:tc>
          <w:tcPr>
            <w:tcW w:w="3397"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Web Link to Statistical Publication:</w:t>
            </w:r>
          </w:p>
        </w:tc>
        <w:tc>
          <w:tcPr>
            <w:tcW w:w="7201" w:type="dxa"/>
            <w:gridSpan w:val="2"/>
            <w:vAlign w:val="center"/>
          </w:tcPr>
          <w:p w:rsidR="00231F54" w:rsidRPr="005E67ED" w:rsidRDefault="003E34F5" w:rsidP="00231F54">
            <w:pPr>
              <w:rPr>
                <w:rFonts w:asciiTheme="minorHAnsi" w:hAnsiTheme="minorHAnsi"/>
                <w:sz w:val="20"/>
                <w:szCs w:val="20"/>
              </w:rPr>
            </w:pPr>
            <w:hyperlink r:id="rId8" w:history="1">
              <w:r w:rsidR="00231F54" w:rsidRPr="00A3446B">
                <w:rPr>
                  <w:rStyle w:val="Hyperlink"/>
                  <w:rFonts w:asciiTheme="minorHAnsi" w:hAnsiTheme="minorHAnsi" w:cstheme="minorHAnsi"/>
                  <w:sz w:val="20"/>
                  <w:szCs w:val="20"/>
                </w:rPr>
                <w:t>https://www.health-ni.gov.uk/articles/public-health-statistics</w:t>
              </w:r>
            </w:hyperlink>
          </w:p>
        </w:tc>
      </w:tr>
      <w:tr w:rsidR="00231F54" w:rsidRPr="008F671D" w:rsidTr="00AC0C49">
        <w:trPr>
          <w:trHeight w:val="340"/>
        </w:trPr>
        <w:tc>
          <w:tcPr>
            <w:tcW w:w="3397"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01" w:type="dxa"/>
            <w:gridSpan w:val="2"/>
            <w:vAlign w:val="center"/>
          </w:tcPr>
          <w:p w:rsidR="00231F54" w:rsidRPr="002D4968" w:rsidRDefault="00231F54" w:rsidP="00231F54">
            <w:pPr>
              <w:rPr>
                <w:rFonts w:asciiTheme="minorHAnsi" w:hAnsiTheme="minorHAnsi"/>
                <w:sz w:val="20"/>
                <w:szCs w:val="20"/>
              </w:rPr>
            </w:pPr>
            <w:r>
              <w:rPr>
                <w:rFonts w:asciiTheme="minorHAnsi" w:hAnsiTheme="minorHAnsi"/>
                <w:sz w:val="20"/>
                <w:szCs w:val="20"/>
              </w:rPr>
              <w:t>Annual</w:t>
            </w:r>
          </w:p>
        </w:tc>
      </w:tr>
      <w:tr w:rsidR="00AC0C49" w:rsidRPr="008F671D" w:rsidTr="00AC0C49">
        <w:trPr>
          <w:trHeight w:val="340"/>
        </w:trPr>
        <w:tc>
          <w:tcPr>
            <w:tcW w:w="3397"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01" w:type="dxa"/>
            <w:gridSpan w:val="2"/>
            <w:vAlign w:val="center"/>
          </w:tcPr>
          <w:p w:rsidR="00AC0C49" w:rsidRPr="002D4968" w:rsidRDefault="00AC0C49" w:rsidP="00AC0C49">
            <w:pPr>
              <w:rPr>
                <w:rFonts w:asciiTheme="minorHAnsi" w:hAnsiTheme="minorHAnsi"/>
                <w:sz w:val="20"/>
                <w:szCs w:val="20"/>
              </w:rPr>
            </w:pPr>
            <w:r w:rsidRPr="002D4968">
              <w:rPr>
                <w:rFonts w:asciiTheme="minorHAnsi" w:hAnsiTheme="minorHAnsi"/>
                <w:sz w:val="20"/>
                <w:szCs w:val="20"/>
              </w:rPr>
              <w:t xml:space="preserve">Approx. </w:t>
            </w:r>
            <w:r>
              <w:rPr>
                <w:rFonts w:asciiTheme="minorHAnsi" w:hAnsiTheme="minorHAnsi"/>
                <w:sz w:val="20"/>
                <w:szCs w:val="20"/>
              </w:rPr>
              <w:t>4 weeks</w:t>
            </w:r>
            <w:r w:rsidRPr="002D4968">
              <w:rPr>
                <w:rFonts w:asciiTheme="minorHAnsi" w:hAnsiTheme="minorHAnsi"/>
                <w:sz w:val="20"/>
                <w:szCs w:val="20"/>
              </w:rPr>
              <w:t xml:space="preserve"> after </w:t>
            </w:r>
            <w:r>
              <w:rPr>
                <w:rFonts w:asciiTheme="minorHAnsi" w:hAnsiTheme="minorHAnsi"/>
                <w:sz w:val="20"/>
                <w:szCs w:val="20"/>
              </w:rPr>
              <w:t>publication of Registrar General report</w:t>
            </w:r>
            <w:r w:rsidRPr="002D4968">
              <w:rPr>
                <w:rFonts w:asciiTheme="minorHAnsi" w:hAnsiTheme="minorHAnsi"/>
                <w:sz w:val="20"/>
                <w:szCs w:val="20"/>
              </w:rPr>
              <w:t xml:space="preserve"> </w:t>
            </w:r>
          </w:p>
        </w:tc>
      </w:tr>
      <w:tr w:rsidR="00AC0C49" w:rsidRPr="008F671D" w:rsidTr="00AC0C49">
        <w:trPr>
          <w:trHeight w:val="340"/>
        </w:trPr>
        <w:tc>
          <w:tcPr>
            <w:tcW w:w="3397"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Data Source:</w:t>
            </w:r>
          </w:p>
        </w:tc>
        <w:tc>
          <w:tcPr>
            <w:tcW w:w="7201" w:type="dxa"/>
            <w:gridSpan w:val="2"/>
            <w:vAlign w:val="center"/>
          </w:tcPr>
          <w:p w:rsidR="00AC0C49" w:rsidRPr="002D4968" w:rsidRDefault="00AC0C49" w:rsidP="00AC0C49">
            <w:pPr>
              <w:rPr>
                <w:rFonts w:asciiTheme="minorHAnsi" w:hAnsiTheme="minorHAnsi"/>
                <w:sz w:val="20"/>
                <w:szCs w:val="20"/>
              </w:rPr>
            </w:pPr>
            <w:r w:rsidRPr="00584BF4">
              <w:rPr>
                <w:rFonts w:asciiTheme="minorHAnsi" w:hAnsiTheme="minorHAnsi"/>
                <w:sz w:val="20"/>
                <w:szCs w:val="20"/>
              </w:rPr>
              <w:t>Mid-Year Population Estimates &amp; Registered Deaths.  Both produced by NISRA.</w:t>
            </w:r>
          </w:p>
        </w:tc>
      </w:tr>
      <w:tr w:rsidR="00AC0C49" w:rsidRPr="008F671D" w:rsidTr="00AC0C49">
        <w:trPr>
          <w:trHeight w:val="340"/>
        </w:trPr>
        <w:tc>
          <w:tcPr>
            <w:tcW w:w="3397"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01" w:type="dxa"/>
            <w:gridSpan w:val="2"/>
            <w:vAlign w:val="center"/>
          </w:tcPr>
          <w:p w:rsidR="00AC0C49" w:rsidRPr="002D4968" w:rsidRDefault="00AC0C49" w:rsidP="00AC0C49">
            <w:pPr>
              <w:rPr>
                <w:rFonts w:asciiTheme="minorHAnsi" w:hAnsiTheme="minorHAnsi"/>
                <w:sz w:val="20"/>
                <w:szCs w:val="20"/>
              </w:rPr>
            </w:pPr>
            <w:r>
              <w:rPr>
                <w:rFonts w:asciiTheme="minorHAnsi" w:hAnsiTheme="minorHAnsi"/>
                <w:sz w:val="20"/>
                <w:szCs w:val="20"/>
              </w:rPr>
              <w:t>Official Statistics</w:t>
            </w:r>
          </w:p>
        </w:tc>
      </w:tr>
      <w:tr w:rsidR="00AC0C49" w:rsidRPr="008F671D" w:rsidTr="00AC0C49">
        <w:trPr>
          <w:trHeight w:val="340"/>
        </w:trPr>
        <w:tc>
          <w:tcPr>
            <w:tcW w:w="3397"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Quality Report:</w:t>
            </w:r>
          </w:p>
        </w:tc>
        <w:tc>
          <w:tcPr>
            <w:tcW w:w="7201" w:type="dxa"/>
            <w:gridSpan w:val="2"/>
            <w:vAlign w:val="center"/>
          </w:tcPr>
          <w:p w:rsidR="00AC0C49" w:rsidRPr="002D4968" w:rsidRDefault="00AC0C49" w:rsidP="00AC0C49">
            <w:pPr>
              <w:rPr>
                <w:rFonts w:asciiTheme="minorHAnsi" w:hAnsiTheme="minorHAnsi"/>
                <w:sz w:val="20"/>
                <w:szCs w:val="20"/>
              </w:rPr>
            </w:pPr>
            <w:r w:rsidRPr="002D4968">
              <w:rPr>
                <w:rFonts w:asciiTheme="minorHAnsi" w:hAnsiTheme="minorHAnsi"/>
                <w:sz w:val="20"/>
                <w:szCs w:val="20"/>
              </w:rPr>
              <w:t>N/A</w:t>
            </w:r>
          </w:p>
        </w:tc>
      </w:tr>
      <w:tr w:rsidR="00AC0C49" w:rsidRPr="008F671D" w:rsidTr="00AC0C49">
        <w:trPr>
          <w:trHeight w:val="340"/>
        </w:trPr>
        <w:tc>
          <w:tcPr>
            <w:tcW w:w="3397"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Historic Data available from:</w:t>
            </w:r>
          </w:p>
        </w:tc>
        <w:tc>
          <w:tcPr>
            <w:tcW w:w="7201" w:type="dxa"/>
            <w:gridSpan w:val="2"/>
            <w:vAlign w:val="center"/>
          </w:tcPr>
          <w:p w:rsidR="00AC0C49" w:rsidRPr="002D4968" w:rsidRDefault="00AC0C49" w:rsidP="00AC0C49">
            <w:pPr>
              <w:rPr>
                <w:rFonts w:asciiTheme="minorHAnsi" w:hAnsiTheme="minorHAnsi"/>
                <w:sz w:val="20"/>
                <w:szCs w:val="20"/>
              </w:rPr>
            </w:pPr>
            <w:r>
              <w:rPr>
                <w:rFonts w:asciiTheme="minorHAnsi" w:hAnsiTheme="minorHAnsi"/>
                <w:sz w:val="20"/>
                <w:szCs w:val="20"/>
              </w:rPr>
              <w:t>2001-05</w:t>
            </w:r>
          </w:p>
        </w:tc>
      </w:tr>
      <w:tr w:rsidR="00AC0C49" w:rsidRPr="008F671D" w:rsidTr="00AC0C49">
        <w:trPr>
          <w:trHeight w:val="3255"/>
        </w:trPr>
        <w:tc>
          <w:tcPr>
            <w:tcW w:w="3397" w:type="dxa"/>
            <w:shd w:val="clear" w:color="auto" w:fill="D9D9D9" w:themeFill="background1" w:themeFillShade="D9"/>
            <w:vAlign w:val="center"/>
          </w:tcPr>
          <w:p w:rsidR="00AC0C49" w:rsidRPr="004D6771" w:rsidRDefault="00AC0C49" w:rsidP="00AC0C49">
            <w:pPr>
              <w:rPr>
                <w:rFonts w:asciiTheme="minorHAnsi" w:hAnsiTheme="minorHAnsi"/>
                <w:b/>
                <w:sz w:val="20"/>
                <w:szCs w:val="20"/>
              </w:rPr>
            </w:pPr>
            <w:r w:rsidRPr="004D6771">
              <w:rPr>
                <w:rFonts w:asciiTheme="minorHAnsi" w:hAnsiTheme="minorHAnsi"/>
                <w:b/>
                <w:sz w:val="20"/>
                <w:szCs w:val="20"/>
              </w:rPr>
              <w:t xml:space="preserve">Time-series trend: </w:t>
            </w:r>
          </w:p>
          <w:p w:rsidR="00AC0C49" w:rsidRPr="00B8684A" w:rsidRDefault="00AC0C49" w:rsidP="00AC0C49">
            <w:pPr>
              <w:rPr>
                <w:rFonts w:asciiTheme="minorHAnsi" w:hAnsiTheme="minorHAnsi"/>
                <w:b/>
                <w:sz w:val="20"/>
                <w:szCs w:val="20"/>
                <w:highlight w:val="yellow"/>
              </w:rPr>
            </w:pPr>
          </w:p>
          <w:p w:rsidR="00AC0C49" w:rsidRPr="00B8684A" w:rsidRDefault="00AC0C49" w:rsidP="00AC0C49">
            <w:pPr>
              <w:rPr>
                <w:rFonts w:asciiTheme="minorHAnsi" w:hAnsiTheme="minorHAnsi"/>
                <w:sz w:val="20"/>
                <w:szCs w:val="20"/>
                <w:highlight w:val="yellow"/>
              </w:rPr>
            </w:pPr>
          </w:p>
        </w:tc>
        <w:tc>
          <w:tcPr>
            <w:tcW w:w="7201" w:type="dxa"/>
            <w:gridSpan w:val="2"/>
          </w:tcPr>
          <w:p w:rsidR="00AC0C49" w:rsidRDefault="00AC0C49" w:rsidP="00AC0C49">
            <w:pPr>
              <w:rPr>
                <w:rFonts w:asciiTheme="minorHAnsi" w:hAnsiTheme="minorHAnsi"/>
                <w:sz w:val="20"/>
                <w:szCs w:val="20"/>
              </w:rPr>
            </w:pPr>
          </w:p>
          <w:p w:rsidR="00AC0C49" w:rsidRPr="00584BF4" w:rsidRDefault="00AC0C49" w:rsidP="00AC0C49">
            <w:pPr>
              <w:rPr>
                <w:rFonts w:asciiTheme="minorHAnsi" w:hAnsiTheme="minorHAnsi"/>
                <w:sz w:val="20"/>
                <w:szCs w:val="20"/>
              </w:rPr>
            </w:pPr>
            <w:r w:rsidRPr="00584BF4">
              <w:rPr>
                <w:rFonts w:ascii="Calibri" w:hAnsi="Calibri"/>
                <w:b/>
                <w:bCs/>
                <w:sz w:val="20"/>
                <w:szCs w:val="20"/>
              </w:rPr>
              <w:t>Deaths per 100,000 population</w:t>
            </w:r>
          </w:p>
          <w:tbl>
            <w:tblPr>
              <w:tblW w:w="7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9"/>
              <w:gridCol w:w="639"/>
              <w:gridCol w:w="639"/>
              <w:gridCol w:w="639"/>
              <w:gridCol w:w="639"/>
              <w:gridCol w:w="639"/>
              <w:gridCol w:w="639"/>
              <w:gridCol w:w="639"/>
              <w:gridCol w:w="639"/>
              <w:gridCol w:w="639"/>
              <w:gridCol w:w="639"/>
            </w:tblGrid>
            <w:tr w:rsidR="00AC0C49" w:rsidRPr="00584BF4" w:rsidTr="00AC0C49">
              <w:trPr>
                <w:trHeight w:val="329"/>
              </w:trPr>
              <w:tc>
                <w:tcPr>
                  <w:tcW w:w="639" w:type="dxa"/>
                  <w:shd w:val="clear" w:color="auto" w:fill="auto"/>
                  <w:vAlign w:val="center"/>
                  <w:hideMark/>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2004</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-08</w:t>
                  </w:r>
                </w:p>
              </w:tc>
              <w:tc>
                <w:tcPr>
                  <w:tcW w:w="639" w:type="dxa"/>
                  <w:shd w:val="clear" w:color="auto" w:fill="auto"/>
                  <w:vAlign w:val="center"/>
                  <w:hideMark/>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2005</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-09</w:t>
                  </w:r>
                </w:p>
              </w:tc>
              <w:tc>
                <w:tcPr>
                  <w:tcW w:w="639" w:type="dxa"/>
                  <w:shd w:val="clear" w:color="auto" w:fill="auto"/>
                  <w:vAlign w:val="center"/>
                  <w:hideMark/>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2006</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-10</w:t>
                  </w:r>
                </w:p>
              </w:tc>
              <w:tc>
                <w:tcPr>
                  <w:tcW w:w="639" w:type="dxa"/>
                  <w:shd w:val="clear" w:color="auto" w:fill="auto"/>
                  <w:vAlign w:val="center"/>
                  <w:hideMark/>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2007</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-11</w:t>
                  </w:r>
                </w:p>
              </w:tc>
              <w:tc>
                <w:tcPr>
                  <w:tcW w:w="639" w:type="dxa"/>
                  <w:shd w:val="clear" w:color="auto" w:fill="auto"/>
                  <w:vAlign w:val="center"/>
                  <w:hideMark/>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2008</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-12</w:t>
                  </w:r>
                </w:p>
              </w:tc>
              <w:tc>
                <w:tcPr>
                  <w:tcW w:w="639" w:type="dxa"/>
                  <w:shd w:val="clear" w:color="auto" w:fill="auto"/>
                  <w:vAlign w:val="center"/>
                  <w:hideMark/>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2009</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-13</w:t>
                  </w:r>
                </w:p>
              </w:tc>
              <w:tc>
                <w:tcPr>
                  <w:tcW w:w="639" w:type="dxa"/>
                  <w:shd w:val="clear" w:color="auto" w:fill="auto"/>
                  <w:vAlign w:val="center"/>
                  <w:hideMark/>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2010</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-14</w:t>
                  </w:r>
                </w:p>
              </w:tc>
              <w:tc>
                <w:tcPr>
                  <w:tcW w:w="639" w:type="dxa"/>
                  <w:vAlign w:val="center"/>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2011</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-15</w:t>
                  </w:r>
                </w:p>
              </w:tc>
              <w:tc>
                <w:tcPr>
                  <w:tcW w:w="639" w:type="dxa"/>
                  <w:vAlign w:val="center"/>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2012</w:t>
                  </w:r>
                </w:p>
                <w:p w:rsidR="00AC0C49" w:rsidRPr="001C28BE" w:rsidRDefault="00AC0C49" w:rsidP="00AC0C49">
                  <w:pPr>
                    <w:jc w:val="right"/>
                    <w:rPr>
                      <w:rFonts w:ascii="Calibri" w:hAnsi="Calibri"/>
                      <w:b/>
                      <w:bCs/>
                      <w:sz w:val="20"/>
                      <w:szCs w:val="20"/>
                    </w:rPr>
                  </w:pPr>
                  <w:r w:rsidRPr="001C28BE">
                    <w:rPr>
                      <w:rFonts w:ascii="Calibri" w:hAnsi="Calibri"/>
                      <w:b/>
                      <w:bCs/>
                      <w:sz w:val="20"/>
                      <w:szCs w:val="20"/>
                    </w:rPr>
                    <w:t>-16</w:t>
                  </w:r>
                </w:p>
              </w:tc>
              <w:tc>
                <w:tcPr>
                  <w:tcW w:w="639" w:type="dxa"/>
                </w:tcPr>
                <w:p w:rsidR="00AC0C49" w:rsidRPr="001C28BE" w:rsidRDefault="00AC0C49" w:rsidP="00AC0C49">
                  <w:pPr>
                    <w:jc w:val="right"/>
                    <w:rPr>
                      <w:rFonts w:ascii="Calibri" w:hAnsi="Calibri"/>
                      <w:b/>
                      <w:bCs/>
                      <w:sz w:val="20"/>
                      <w:szCs w:val="20"/>
                    </w:rPr>
                  </w:pPr>
                  <w:r w:rsidRPr="001C28BE">
                    <w:rPr>
                      <w:rFonts w:ascii="Calibri" w:hAnsi="Calibri"/>
                      <w:b/>
                      <w:bCs/>
                      <w:sz w:val="20"/>
                      <w:szCs w:val="20"/>
                    </w:rPr>
                    <w:t>2013-17</w:t>
                  </w:r>
                </w:p>
              </w:tc>
              <w:tc>
                <w:tcPr>
                  <w:tcW w:w="639" w:type="dxa"/>
                </w:tcPr>
                <w:p w:rsidR="00AC0C49" w:rsidRPr="001C28BE" w:rsidRDefault="00AC0C49" w:rsidP="00AC0C49">
                  <w:pPr>
                    <w:jc w:val="right"/>
                    <w:rPr>
                      <w:rFonts w:ascii="Calibri" w:hAnsi="Calibri"/>
                      <w:b/>
                      <w:bCs/>
                      <w:sz w:val="20"/>
                      <w:szCs w:val="20"/>
                    </w:rPr>
                  </w:pPr>
                  <w:r>
                    <w:rPr>
                      <w:rFonts w:ascii="Calibri" w:hAnsi="Calibri"/>
                      <w:b/>
                      <w:bCs/>
                      <w:sz w:val="20"/>
                      <w:szCs w:val="20"/>
                    </w:rPr>
                    <w:t>2014-18</w:t>
                  </w:r>
                </w:p>
              </w:tc>
            </w:tr>
            <w:tr w:rsidR="00AC0C49" w:rsidRPr="00584BF4" w:rsidTr="00AC0C49">
              <w:trPr>
                <w:trHeight w:val="259"/>
              </w:trPr>
              <w:tc>
                <w:tcPr>
                  <w:tcW w:w="639" w:type="dxa"/>
                  <w:shd w:val="clear" w:color="auto" w:fill="auto"/>
                  <w:vAlign w:val="center"/>
                  <w:hideMark/>
                </w:tcPr>
                <w:p w:rsidR="00AC0C49" w:rsidRPr="001C28BE" w:rsidRDefault="00AC0C49" w:rsidP="00AC0C49">
                  <w:pPr>
                    <w:jc w:val="right"/>
                    <w:rPr>
                      <w:rFonts w:ascii="Calibri" w:hAnsi="Calibri"/>
                      <w:sz w:val="20"/>
                      <w:szCs w:val="20"/>
                    </w:rPr>
                  </w:pPr>
                  <w:r w:rsidRPr="001C28BE">
                    <w:rPr>
                      <w:rFonts w:ascii="Calibri" w:hAnsi="Calibri"/>
                      <w:sz w:val="20"/>
                      <w:szCs w:val="20"/>
                    </w:rPr>
                    <w:t>252</w:t>
                  </w:r>
                </w:p>
              </w:tc>
              <w:tc>
                <w:tcPr>
                  <w:tcW w:w="639" w:type="dxa"/>
                  <w:shd w:val="clear" w:color="auto" w:fill="auto"/>
                  <w:vAlign w:val="center"/>
                  <w:hideMark/>
                </w:tcPr>
                <w:p w:rsidR="00AC0C49" w:rsidRPr="001C28BE" w:rsidRDefault="00AC0C49" w:rsidP="00AC0C49">
                  <w:pPr>
                    <w:jc w:val="right"/>
                    <w:rPr>
                      <w:rFonts w:ascii="Calibri" w:hAnsi="Calibri"/>
                      <w:sz w:val="20"/>
                      <w:szCs w:val="20"/>
                    </w:rPr>
                  </w:pPr>
                  <w:r w:rsidRPr="001C28BE">
                    <w:rPr>
                      <w:rFonts w:ascii="Calibri" w:hAnsi="Calibri"/>
                      <w:sz w:val="20"/>
                      <w:szCs w:val="20"/>
                    </w:rPr>
                    <w:t>247</w:t>
                  </w:r>
                </w:p>
              </w:tc>
              <w:tc>
                <w:tcPr>
                  <w:tcW w:w="639" w:type="dxa"/>
                  <w:shd w:val="clear" w:color="auto" w:fill="auto"/>
                  <w:vAlign w:val="center"/>
                  <w:hideMark/>
                </w:tcPr>
                <w:p w:rsidR="00AC0C49" w:rsidRPr="001C28BE" w:rsidRDefault="00AC0C49" w:rsidP="00AC0C49">
                  <w:pPr>
                    <w:jc w:val="right"/>
                    <w:rPr>
                      <w:rFonts w:ascii="Calibri" w:hAnsi="Calibri"/>
                      <w:sz w:val="20"/>
                      <w:szCs w:val="20"/>
                    </w:rPr>
                  </w:pPr>
                  <w:r w:rsidRPr="001C28BE">
                    <w:rPr>
                      <w:rFonts w:ascii="Calibri" w:hAnsi="Calibri"/>
                      <w:sz w:val="20"/>
                      <w:szCs w:val="20"/>
                    </w:rPr>
                    <w:t>243</w:t>
                  </w:r>
                </w:p>
              </w:tc>
              <w:tc>
                <w:tcPr>
                  <w:tcW w:w="639" w:type="dxa"/>
                  <w:shd w:val="clear" w:color="auto" w:fill="auto"/>
                  <w:vAlign w:val="center"/>
                  <w:hideMark/>
                </w:tcPr>
                <w:p w:rsidR="00AC0C49" w:rsidRPr="001C28BE" w:rsidRDefault="00AC0C49" w:rsidP="00AC0C49">
                  <w:pPr>
                    <w:jc w:val="right"/>
                    <w:rPr>
                      <w:rFonts w:ascii="Calibri" w:hAnsi="Calibri"/>
                      <w:sz w:val="20"/>
                      <w:szCs w:val="20"/>
                    </w:rPr>
                  </w:pPr>
                  <w:r w:rsidRPr="001C28BE">
                    <w:rPr>
                      <w:rFonts w:ascii="Calibri" w:hAnsi="Calibri"/>
                      <w:sz w:val="20"/>
                      <w:szCs w:val="20"/>
                    </w:rPr>
                    <w:t>234</w:t>
                  </w:r>
                </w:p>
              </w:tc>
              <w:tc>
                <w:tcPr>
                  <w:tcW w:w="639" w:type="dxa"/>
                  <w:shd w:val="clear" w:color="auto" w:fill="auto"/>
                  <w:vAlign w:val="center"/>
                  <w:hideMark/>
                </w:tcPr>
                <w:p w:rsidR="00AC0C49" w:rsidRPr="001C28BE" w:rsidRDefault="00AC0C49" w:rsidP="00AC0C49">
                  <w:pPr>
                    <w:jc w:val="right"/>
                    <w:rPr>
                      <w:rFonts w:ascii="Calibri" w:hAnsi="Calibri"/>
                      <w:sz w:val="20"/>
                      <w:szCs w:val="20"/>
                    </w:rPr>
                  </w:pPr>
                  <w:r w:rsidRPr="001C28BE">
                    <w:rPr>
                      <w:rFonts w:ascii="Calibri" w:hAnsi="Calibri"/>
                      <w:sz w:val="20"/>
                      <w:szCs w:val="20"/>
                    </w:rPr>
                    <w:t>226</w:t>
                  </w:r>
                </w:p>
              </w:tc>
              <w:tc>
                <w:tcPr>
                  <w:tcW w:w="639" w:type="dxa"/>
                  <w:shd w:val="clear" w:color="auto" w:fill="auto"/>
                  <w:vAlign w:val="center"/>
                  <w:hideMark/>
                </w:tcPr>
                <w:p w:rsidR="00AC0C49" w:rsidRPr="001C28BE" w:rsidRDefault="00AC0C49" w:rsidP="00AC0C49">
                  <w:pPr>
                    <w:jc w:val="right"/>
                    <w:rPr>
                      <w:rFonts w:ascii="Calibri" w:hAnsi="Calibri"/>
                      <w:sz w:val="20"/>
                      <w:szCs w:val="20"/>
                    </w:rPr>
                  </w:pPr>
                  <w:r w:rsidRPr="001C28BE">
                    <w:rPr>
                      <w:rFonts w:ascii="Calibri" w:hAnsi="Calibri"/>
                      <w:sz w:val="20"/>
                      <w:szCs w:val="20"/>
                    </w:rPr>
                    <w:t>220</w:t>
                  </w:r>
                </w:p>
              </w:tc>
              <w:tc>
                <w:tcPr>
                  <w:tcW w:w="639" w:type="dxa"/>
                  <w:shd w:val="clear" w:color="auto" w:fill="auto"/>
                  <w:vAlign w:val="center"/>
                  <w:hideMark/>
                </w:tcPr>
                <w:p w:rsidR="00AC0C49" w:rsidRPr="001C28BE" w:rsidRDefault="00AC0C49" w:rsidP="00AC0C49">
                  <w:pPr>
                    <w:jc w:val="right"/>
                    <w:rPr>
                      <w:rFonts w:ascii="Calibri" w:hAnsi="Calibri"/>
                      <w:sz w:val="20"/>
                      <w:szCs w:val="20"/>
                    </w:rPr>
                  </w:pPr>
                  <w:r w:rsidRPr="001C28BE">
                    <w:rPr>
                      <w:rFonts w:ascii="Calibri" w:hAnsi="Calibri"/>
                      <w:sz w:val="20"/>
                      <w:szCs w:val="20"/>
                    </w:rPr>
                    <w:t>211</w:t>
                  </w:r>
                </w:p>
              </w:tc>
              <w:tc>
                <w:tcPr>
                  <w:tcW w:w="639" w:type="dxa"/>
                  <w:vAlign w:val="center"/>
                </w:tcPr>
                <w:p w:rsidR="00AC0C49" w:rsidRPr="001C28BE" w:rsidRDefault="00AC0C49" w:rsidP="00AC0C49">
                  <w:pPr>
                    <w:jc w:val="right"/>
                    <w:rPr>
                      <w:rFonts w:ascii="Calibri" w:hAnsi="Calibri"/>
                      <w:sz w:val="20"/>
                      <w:szCs w:val="20"/>
                    </w:rPr>
                  </w:pPr>
                  <w:r w:rsidRPr="001C28BE">
                    <w:rPr>
                      <w:rFonts w:ascii="Calibri" w:hAnsi="Calibri"/>
                      <w:sz w:val="20"/>
                      <w:szCs w:val="20"/>
                    </w:rPr>
                    <w:t>207</w:t>
                  </w:r>
                </w:p>
              </w:tc>
              <w:tc>
                <w:tcPr>
                  <w:tcW w:w="639" w:type="dxa"/>
                  <w:vAlign w:val="center"/>
                </w:tcPr>
                <w:p w:rsidR="00AC0C49" w:rsidRPr="001C28BE" w:rsidRDefault="00AC0C49" w:rsidP="00AC0C49">
                  <w:pPr>
                    <w:jc w:val="right"/>
                    <w:rPr>
                      <w:rFonts w:ascii="Calibri" w:hAnsi="Calibri"/>
                      <w:sz w:val="20"/>
                      <w:szCs w:val="20"/>
                    </w:rPr>
                  </w:pPr>
                  <w:r w:rsidRPr="001C28BE">
                    <w:rPr>
                      <w:rFonts w:ascii="Calibri" w:hAnsi="Calibri"/>
                      <w:sz w:val="20"/>
                      <w:szCs w:val="20"/>
                    </w:rPr>
                    <w:t>205</w:t>
                  </w:r>
                </w:p>
              </w:tc>
              <w:tc>
                <w:tcPr>
                  <w:tcW w:w="639" w:type="dxa"/>
                </w:tcPr>
                <w:p w:rsidR="00AC0C49" w:rsidRPr="001C28BE" w:rsidRDefault="00AC0C49" w:rsidP="00AC0C49">
                  <w:pPr>
                    <w:jc w:val="right"/>
                    <w:rPr>
                      <w:rFonts w:ascii="Calibri" w:hAnsi="Calibri"/>
                      <w:sz w:val="20"/>
                      <w:szCs w:val="20"/>
                    </w:rPr>
                  </w:pPr>
                  <w:r w:rsidRPr="001C28BE">
                    <w:rPr>
                      <w:rFonts w:ascii="Calibri" w:hAnsi="Calibri"/>
                      <w:sz w:val="20"/>
                      <w:szCs w:val="20"/>
                    </w:rPr>
                    <w:t>207</w:t>
                  </w:r>
                </w:p>
              </w:tc>
              <w:tc>
                <w:tcPr>
                  <w:tcW w:w="639" w:type="dxa"/>
                </w:tcPr>
                <w:p w:rsidR="00AC0C49" w:rsidRPr="001C28BE" w:rsidRDefault="00AC0C49" w:rsidP="00AC0C49">
                  <w:pPr>
                    <w:jc w:val="right"/>
                    <w:rPr>
                      <w:rFonts w:ascii="Calibri" w:hAnsi="Calibri"/>
                      <w:sz w:val="20"/>
                      <w:szCs w:val="20"/>
                    </w:rPr>
                  </w:pPr>
                  <w:r>
                    <w:rPr>
                      <w:rFonts w:ascii="Calibri" w:hAnsi="Calibri"/>
                      <w:sz w:val="20"/>
                      <w:szCs w:val="20"/>
                    </w:rPr>
                    <w:t>207</w:t>
                  </w:r>
                </w:p>
              </w:tc>
            </w:tr>
          </w:tbl>
          <w:p w:rsidR="00AC0C49" w:rsidRPr="002D4968" w:rsidRDefault="00AC0C49" w:rsidP="00AC0C49">
            <w:pPr>
              <w:rPr>
                <w:rFonts w:asciiTheme="minorHAnsi" w:hAnsiTheme="minorHAnsi"/>
                <w:sz w:val="20"/>
                <w:szCs w:val="20"/>
              </w:rPr>
            </w:pPr>
          </w:p>
        </w:tc>
      </w:tr>
      <w:tr w:rsidR="00231F54" w:rsidRPr="008F671D" w:rsidTr="00AC0C49">
        <w:trPr>
          <w:trHeight w:val="687"/>
        </w:trPr>
        <w:tc>
          <w:tcPr>
            <w:tcW w:w="3397" w:type="dxa"/>
            <w:shd w:val="clear" w:color="auto" w:fill="D9D9D9" w:themeFill="background1" w:themeFillShade="D9"/>
            <w:vAlign w:val="center"/>
          </w:tcPr>
          <w:p w:rsidR="00231F54" w:rsidRPr="00345E2E" w:rsidRDefault="00231F54" w:rsidP="00231F54">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231F54" w:rsidRPr="00345E2E" w:rsidRDefault="00231F54" w:rsidP="00231F5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01" w:type="dxa"/>
            <w:gridSpan w:val="2"/>
            <w:vAlign w:val="center"/>
          </w:tcPr>
          <w:p w:rsidR="00231F54" w:rsidRPr="002D4968" w:rsidRDefault="00231F54" w:rsidP="00231F54">
            <w:pPr>
              <w:rPr>
                <w:rFonts w:asciiTheme="minorHAnsi" w:hAnsiTheme="minorHAnsi"/>
                <w:sz w:val="20"/>
                <w:szCs w:val="20"/>
              </w:rPr>
            </w:pPr>
            <w:r>
              <w:rPr>
                <w:rFonts w:asciiTheme="minorHAnsi" w:hAnsiTheme="minorHAnsi"/>
                <w:sz w:val="20"/>
              </w:rPr>
              <w:t>N/A</w:t>
            </w:r>
          </w:p>
        </w:tc>
      </w:tr>
      <w:tr w:rsidR="00AC0C49" w:rsidRPr="008F671D" w:rsidTr="00AC0C49">
        <w:trPr>
          <w:trHeight w:val="1134"/>
        </w:trPr>
        <w:tc>
          <w:tcPr>
            <w:tcW w:w="3397" w:type="dxa"/>
            <w:shd w:val="clear" w:color="auto" w:fill="D9D9D9" w:themeFill="background1" w:themeFillShade="D9"/>
            <w:vAlign w:val="center"/>
          </w:tcPr>
          <w:p w:rsidR="00AC0C49" w:rsidRPr="008F671D" w:rsidRDefault="00AC0C49" w:rsidP="00AC0C49">
            <w:pPr>
              <w:rPr>
                <w:rFonts w:asciiTheme="minorHAnsi" w:hAnsiTheme="minorHAnsi"/>
                <w:b/>
                <w:sz w:val="20"/>
              </w:rPr>
            </w:pPr>
            <w:r w:rsidRPr="008F671D">
              <w:rPr>
                <w:rFonts w:asciiTheme="minorHAnsi" w:hAnsiTheme="minorHAnsi"/>
                <w:b/>
                <w:sz w:val="20"/>
              </w:rPr>
              <w:t>Please indicate whether UK/RoI/International Comparisons are available:</w:t>
            </w:r>
          </w:p>
        </w:tc>
        <w:tc>
          <w:tcPr>
            <w:tcW w:w="7201" w:type="dxa"/>
            <w:gridSpan w:val="2"/>
            <w:vAlign w:val="center"/>
          </w:tcPr>
          <w:p w:rsidR="00AC0C49" w:rsidRPr="00584BF4" w:rsidRDefault="00AC0C49" w:rsidP="00AC0C49">
            <w:pPr>
              <w:rPr>
                <w:rFonts w:asciiTheme="minorHAnsi" w:hAnsiTheme="minorHAnsi"/>
                <w:sz w:val="20"/>
                <w:szCs w:val="20"/>
              </w:rPr>
            </w:pPr>
            <w:r w:rsidRPr="00584BF4">
              <w:rPr>
                <w:rFonts w:asciiTheme="minorHAnsi" w:hAnsiTheme="minorHAnsi"/>
                <w:sz w:val="20"/>
                <w:szCs w:val="20"/>
              </w:rPr>
              <w:t>UK: available</w:t>
            </w:r>
          </w:p>
          <w:p w:rsidR="00AC0C49" w:rsidRPr="00584BF4" w:rsidRDefault="00AC0C49" w:rsidP="00AC0C49">
            <w:pPr>
              <w:rPr>
                <w:rFonts w:asciiTheme="minorHAnsi" w:hAnsiTheme="minorHAnsi"/>
                <w:sz w:val="20"/>
                <w:szCs w:val="20"/>
              </w:rPr>
            </w:pPr>
            <w:r w:rsidRPr="00584BF4">
              <w:rPr>
                <w:rFonts w:asciiTheme="minorHAnsi" w:hAnsiTheme="minorHAnsi"/>
                <w:sz w:val="20"/>
                <w:szCs w:val="20"/>
              </w:rPr>
              <w:t>UK Regional: available</w:t>
            </w:r>
          </w:p>
          <w:p w:rsidR="00AC0C49" w:rsidRPr="00584BF4" w:rsidRDefault="00AC0C49" w:rsidP="00AC0C49">
            <w:pPr>
              <w:rPr>
                <w:rFonts w:asciiTheme="minorHAnsi" w:hAnsiTheme="minorHAnsi"/>
                <w:sz w:val="20"/>
                <w:szCs w:val="20"/>
              </w:rPr>
            </w:pPr>
            <w:r w:rsidRPr="00584BF4">
              <w:rPr>
                <w:rFonts w:asciiTheme="minorHAnsi" w:hAnsiTheme="minorHAnsi"/>
                <w:sz w:val="20"/>
                <w:szCs w:val="20"/>
              </w:rPr>
              <w:t>RoI: available</w:t>
            </w:r>
          </w:p>
          <w:p w:rsidR="00AC0C49" w:rsidRPr="00584BF4" w:rsidRDefault="00AC0C49" w:rsidP="00AC0C49">
            <w:pPr>
              <w:rPr>
                <w:rFonts w:asciiTheme="minorHAnsi" w:hAnsiTheme="minorHAnsi"/>
                <w:sz w:val="20"/>
                <w:szCs w:val="20"/>
              </w:rPr>
            </w:pPr>
            <w:r w:rsidRPr="00584BF4">
              <w:rPr>
                <w:rFonts w:asciiTheme="minorHAnsi" w:hAnsiTheme="minorHAnsi"/>
                <w:sz w:val="20"/>
                <w:szCs w:val="20"/>
              </w:rPr>
              <w:t>International (please specify countries): European countries.</w:t>
            </w:r>
          </w:p>
          <w:p w:rsidR="00AC0C49" w:rsidRPr="002D4968" w:rsidRDefault="00AC0C49" w:rsidP="00AC0C49">
            <w:pPr>
              <w:rPr>
                <w:rFonts w:asciiTheme="minorHAnsi" w:hAnsiTheme="minorHAnsi"/>
                <w:sz w:val="20"/>
                <w:szCs w:val="20"/>
              </w:rPr>
            </w:pPr>
            <w:r w:rsidRPr="00584BF4">
              <w:rPr>
                <w:rFonts w:asciiTheme="minorHAnsi" w:hAnsiTheme="minorHAnsi"/>
                <w:sz w:val="20"/>
                <w:szCs w:val="20"/>
              </w:rPr>
              <w:t>Direct comparisons are not always possible due to differences in methodology.</w:t>
            </w:r>
          </w:p>
        </w:tc>
      </w:tr>
      <w:tr w:rsidR="00AC0C49" w:rsidRPr="008F671D" w:rsidTr="00AC0C49">
        <w:trPr>
          <w:trHeight w:val="1134"/>
        </w:trPr>
        <w:tc>
          <w:tcPr>
            <w:tcW w:w="3397" w:type="dxa"/>
            <w:shd w:val="clear" w:color="auto" w:fill="D9D9D9" w:themeFill="background1" w:themeFillShade="D9"/>
            <w:vAlign w:val="center"/>
          </w:tcPr>
          <w:p w:rsidR="00AC0C49" w:rsidRPr="008F671D" w:rsidRDefault="00AC0C49" w:rsidP="00AC0C49">
            <w:pPr>
              <w:rPr>
                <w:rFonts w:asciiTheme="minorHAnsi" w:hAnsiTheme="minorHAnsi"/>
                <w:b/>
                <w:sz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 </w:t>
            </w:r>
          </w:p>
        </w:tc>
        <w:tc>
          <w:tcPr>
            <w:tcW w:w="7201" w:type="dxa"/>
            <w:gridSpan w:val="2"/>
            <w:vAlign w:val="center"/>
          </w:tcPr>
          <w:p w:rsidR="00AC0C49" w:rsidRDefault="00AC0C49" w:rsidP="00AC0C49">
            <w:pPr>
              <w:rPr>
                <w:rFonts w:asciiTheme="minorHAnsi" w:hAnsiTheme="minorHAnsi" w:cs="Calibri"/>
                <w:sz w:val="20"/>
                <w:szCs w:val="20"/>
              </w:rPr>
            </w:pPr>
            <w:r w:rsidRPr="003302B6">
              <w:rPr>
                <w:rFonts w:asciiTheme="minorHAnsi" w:hAnsiTheme="minorHAnsi" w:cs="Calibri"/>
                <w:sz w:val="20"/>
                <w:szCs w:val="20"/>
              </w:rPr>
              <w:t xml:space="preserve">Causes of death have been categorised as </w:t>
            </w:r>
            <w:r>
              <w:rPr>
                <w:rFonts w:asciiTheme="minorHAnsi" w:hAnsiTheme="minorHAnsi" w:cs="Calibri"/>
                <w:sz w:val="20"/>
                <w:szCs w:val="20"/>
              </w:rPr>
              <w:t>preventable</w:t>
            </w:r>
            <w:r w:rsidRPr="003302B6">
              <w:rPr>
                <w:rFonts w:asciiTheme="minorHAnsi" w:hAnsiTheme="minorHAnsi" w:cs="Calibri"/>
                <w:sz w:val="20"/>
                <w:szCs w:val="20"/>
              </w:rPr>
              <w:t xml:space="preserve"> </w:t>
            </w:r>
            <w:r>
              <w:rPr>
                <w:rFonts w:asciiTheme="minorHAnsi" w:hAnsiTheme="minorHAnsi" w:cs="Calibri"/>
                <w:sz w:val="20"/>
                <w:szCs w:val="20"/>
              </w:rPr>
              <w:t>in line with</w:t>
            </w:r>
            <w:r w:rsidRPr="003302B6">
              <w:rPr>
                <w:rFonts w:asciiTheme="minorHAnsi" w:hAnsiTheme="minorHAnsi" w:cs="Calibri"/>
                <w:sz w:val="20"/>
                <w:szCs w:val="20"/>
              </w:rPr>
              <w:t xml:space="preserve"> the Office for National Statistics (ONS) definition, below. </w:t>
            </w:r>
          </w:p>
          <w:p w:rsidR="00AC0C49" w:rsidRDefault="00AC0C49" w:rsidP="00AC0C49">
            <w:pPr>
              <w:rPr>
                <w:rFonts w:asciiTheme="minorHAnsi" w:hAnsiTheme="minorHAnsi" w:cs="Calibri"/>
                <w:color w:val="000000"/>
                <w:sz w:val="20"/>
                <w:szCs w:val="20"/>
              </w:rPr>
            </w:pPr>
          </w:p>
          <w:p w:rsidR="00AC0C49" w:rsidRPr="00263115" w:rsidRDefault="00AC0C49" w:rsidP="00AC0C49">
            <w:pPr>
              <w:rPr>
                <w:rFonts w:asciiTheme="minorHAnsi" w:hAnsiTheme="minorHAnsi" w:cs="Calibri"/>
                <w:color w:val="000000"/>
                <w:sz w:val="20"/>
                <w:szCs w:val="20"/>
              </w:rPr>
            </w:pPr>
            <w:r w:rsidRPr="00263115">
              <w:rPr>
                <w:rFonts w:asciiTheme="minorHAnsi" w:hAnsiTheme="minorHAnsi" w:cs="Calibri"/>
                <w:color w:val="000000"/>
                <w:sz w:val="20"/>
                <w:szCs w:val="20"/>
              </w:rPr>
              <w:t>A death is preventable if, in the light of understanding of the determinants of health at the time of death, all or most deaths from that cause (subject to age limits if appropriate) could be avoided by public health interventions in the broadest sense.</w:t>
            </w:r>
          </w:p>
          <w:p w:rsidR="00AC0C49" w:rsidRPr="00C35DFE" w:rsidRDefault="00AC0C49" w:rsidP="00AC0C49">
            <w:pPr>
              <w:rPr>
                <w:rFonts w:asciiTheme="minorHAnsi" w:hAnsiTheme="minorHAnsi" w:cs="Calibri"/>
                <w:color w:val="000000"/>
                <w:sz w:val="16"/>
                <w:szCs w:val="20"/>
              </w:rPr>
            </w:pPr>
          </w:p>
          <w:p w:rsidR="00AC0C49" w:rsidRDefault="00AC0C49" w:rsidP="00AC0C49">
            <w:pPr>
              <w:rPr>
                <w:rFonts w:asciiTheme="minorHAnsi" w:hAnsiTheme="minorHAnsi" w:cs="Calibri"/>
                <w:color w:val="000000"/>
                <w:sz w:val="20"/>
                <w:szCs w:val="20"/>
              </w:rPr>
            </w:pPr>
            <w:r>
              <w:rPr>
                <w:rFonts w:asciiTheme="minorHAnsi" w:hAnsiTheme="minorHAnsi" w:cs="Calibri"/>
                <w:color w:val="000000"/>
                <w:sz w:val="20"/>
                <w:szCs w:val="20"/>
              </w:rPr>
              <w:t xml:space="preserve">The cause of death, identified through the relevant </w:t>
            </w:r>
            <w:r w:rsidRPr="00FE734A">
              <w:rPr>
                <w:rFonts w:asciiTheme="minorHAnsi" w:hAnsiTheme="minorHAnsi" w:cs="Calibri"/>
                <w:color w:val="000000"/>
                <w:sz w:val="20"/>
                <w:szCs w:val="20"/>
              </w:rPr>
              <w:t>International Statistical Classification of Diseases</w:t>
            </w:r>
            <w:r>
              <w:rPr>
                <w:rFonts w:asciiTheme="minorHAnsi" w:hAnsiTheme="minorHAnsi" w:cs="Calibri"/>
                <w:color w:val="000000"/>
                <w:sz w:val="20"/>
                <w:szCs w:val="20"/>
              </w:rPr>
              <w:t xml:space="preserve"> (ICD-10) code is used to categorise deaths as preventable.  The list below sets out the causes* included.</w:t>
            </w:r>
          </w:p>
          <w:p w:rsidR="00AC0C49" w:rsidRPr="00C35DFE" w:rsidRDefault="00AC0C49" w:rsidP="00AC0C49">
            <w:pPr>
              <w:rPr>
                <w:rFonts w:asciiTheme="minorHAnsi" w:hAnsiTheme="minorHAnsi" w:cs="Calibri"/>
                <w:color w:val="000000"/>
                <w:sz w:val="16"/>
                <w:szCs w:val="20"/>
              </w:rPr>
            </w:pP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Infections: </w:t>
            </w:r>
            <w:r w:rsidRPr="000F433B">
              <w:rPr>
                <w:rFonts w:asciiTheme="minorHAnsi" w:hAnsiTheme="minorHAnsi"/>
                <w:sz w:val="18"/>
                <w:szCs w:val="20"/>
              </w:rPr>
              <w:t xml:space="preserve">Tuberculosis, Hepatitis </w:t>
            </w:r>
            <w:proofErr w:type="gramStart"/>
            <w:r w:rsidRPr="000F433B">
              <w:rPr>
                <w:rFonts w:asciiTheme="minorHAnsi" w:hAnsiTheme="minorHAnsi"/>
                <w:sz w:val="18"/>
                <w:szCs w:val="20"/>
              </w:rPr>
              <w:t>C ,</w:t>
            </w:r>
            <w:proofErr w:type="gramEnd"/>
            <w:r w:rsidRPr="000F433B">
              <w:rPr>
                <w:rFonts w:asciiTheme="minorHAnsi" w:hAnsiTheme="minorHAnsi"/>
                <w:sz w:val="18"/>
                <w:szCs w:val="20"/>
              </w:rPr>
              <w:t xml:space="preserve"> HIV/AIDS.</w:t>
            </w: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Neoplasms : </w:t>
            </w:r>
            <w:r w:rsidRPr="000F433B">
              <w:rPr>
                <w:rFonts w:asciiTheme="minorHAnsi" w:hAnsiTheme="minorHAnsi"/>
                <w:sz w:val="18"/>
                <w:szCs w:val="20"/>
              </w:rPr>
              <w:t xml:space="preserve">Malignant neoplasm of lip, oral cavity and pharynx, Malignant neoplasm of oesophagus, Malignant neoplasm of stomach, Malignant neoplasm of colon and rectum, Malignant neoplasm of liver, Malignant neoplasm of trachea, bronchus and lung, Malignant melanoma of skin, </w:t>
            </w:r>
          </w:p>
          <w:p w:rsidR="00AC0C49" w:rsidRPr="000F433B" w:rsidRDefault="00AC0C49" w:rsidP="00AC0C49">
            <w:pPr>
              <w:rPr>
                <w:rFonts w:asciiTheme="minorHAnsi" w:hAnsiTheme="minorHAnsi"/>
                <w:sz w:val="18"/>
                <w:szCs w:val="20"/>
              </w:rPr>
            </w:pPr>
            <w:r w:rsidRPr="000F433B">
              <w:rPr>
                <w:rFonts w:asciiTheme="minorHAnsi" w:hAnsiTheme="minorHAnsi"/>
                <w:sz w:val="18"/>
                <w:szCs w:val="20"/>
              </w:rPr>
              <w:t>Mesothelioma, Malignant neoplasm of breast, Malignant neoplasm of cervix uteri.</w:t>
            </w: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Nutritional, endocrine and metabolic: </w:t>
            </w:r>
            <w:r w:rsidRPr="000F433B">
              <w:rPr>
                <w:rFonts w:asciiTheme="minorHAnsi" w:hAnsiTheme="minorHAnsi"/>
                <w:sz w:val="18"/>
                <w:szCs w:val="20"/>
              </w:rPr>
              <w:t>Diabetes mellitus.</w:t>
            </w: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Drug use disorders: </w:t>
            </w:r>
            <w:r w:rsidRPr="000F433B">
              <w:rPr>
                <w:rFonts w:asciiTheme="minorHAnsi" w:hAnsiTheme="minorHAnsi"/>
                <w:sz w:val="18"/>
                <w:szCs w:val="20"/>
              </w:rPr>
              <w:t>Alcohol related diseases, excluding external causes, Illicit drug use disorders.</w:t>
            </w: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Cardiovascular diseases: </w:t>
            </w:r>
            <w:r w:rsidRPr="000F433B">
              <w:rPr>
                <w:rFonts w:asciiTheme="minorHAnsi" w:hAnsiTheme="minorHAnsi"/>
                <w:sz w:val="18"/>
                <w:szCs w:val="20"/>
              </w:rPr>
              <w:t>Ischaemic heart disease, DVT with pulmonary embolism, Aortic aneurysm and dissection.</w:t>
            </w: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Respiratory diseases: </w:t>
            </w:r>
            <w:r w:rsidRPr="000F433B">
              <w:rPr>
                <w:rFonts w:asciiTheme="minorHAnsi" w:hAnsiTheme="minorHAnsi"/>
                <w:sz w:val="18"/>
                <w:szCs w:val="20"/>
              </w:rPr>
              <w:t>Influenza (including swine flu), Chronic obstructive pulmonary disorder.</w:t>
            </w: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Unintentional injuries: </w:t>
            </w:r>
            <w:r w:rsidRPr="000F433B">
              <w:rPr>
                <w:rFonts w:asciiTheme="minorHAnsi" w:hAnsiTheme="minorHAnsi"/>
                <w:sz w:val="18"/>
                <w:szCs w:val="20"/>
              </w:rPr>
              <w:t>Transport Accidents, Accidental Injury</w:t>
            </w:r>
          </w:p>
          <w:p w:rsidR="00AC0C49" w:rsidRPr="000F433B" w:rsidRDefault="00AC0C49" w:rsidP="00AC0C49">
            <w:pPr>
              <w:rPr>
                <w:rFonts w:asciiTheme="minorHAnsi" w:hAnsiTheme="minorHAnsi"/>
                <w:sz w:val="18"/>
                <w:szCs w:val="20"/>
              </w:rPr>
            </w:pPr>
            <w:r w:rsidRPr="000F433B">
              <w:rPr>
                <w:rFonts w:asciiTheme="minorHAnsi" w:hAnsiTheme="minorHAnsi"/>
                <w:b/>
                <w:sz w:val="18"/>
                <w:szCs w:val="20"/>
              </w:rPr>
              <w:t xml:space="preserve">Intentional </w:t>
            </w:r>
            <w:proofErr w:type="gramStart"/>
            <w:r w:rsidRPr="000F433B">
              <w:rPr>
                <w:rFonts w:asciiTheme="minorHAnsi" w:hAnsiTheme="minorHAnsi"/>
                <w:b/>
                <w:sz w:val="18"/>
                <w:szCs w:val="20"/>
              </w:rPr>
              <w:t>injuries :</w:t>
            </w:r>
            <w:proofErr w:type="gramEnd"/>
            <w:r w:rsidRPr="000F433B">
              <w:rPr>
                <w:rFonts w:asciiTheme="minorHAnsi" w:hAnsiTheme="minorHAnsi"/>
                <w:b/>
                <w:sz w:val="18"/>
                <w:szCs w:val="20"/>
              </w:rPr>
              <w:t xml:space="preserve"> </w:t>
            </w:r>
            <w:r w:rsidRPr="000F433B">
              <w:rPr>
                <w:rFonts w:asciiTheme="minorHAnsi" w:hAnsiTheme="minorHAnsi"/>
                <w:sz w:val="18"/>
                <w:szCs w:val="20"/>
              </w:rPr>
              <w:t xml:space="preserve">Suicide and </w:t>
            </w:r>
            <w:proofErr w:type="spellStart"/>
            <w:r w:rsidRPr="000F433B">
              <w:rPr>
                <w:rFonts w:asciiTheme="minorHAnsi" w:hAnsiTheme="minorHAnsi"/>
                <w:sz w:val="18"/>
                <w:szCs w:val="20"/>
              </w:rPr>
              <w:t>self inflicted</w:t>
            </w:r>
            <w:proofErr w:type="spellEnd"/>
            <w:r w:rsidRPr="000F433B">
              <w:rPr>
                <w:rFonts w:asciiTheme="minorHAnsi" w:hAnsiTheme="minorHAnsi"/>
                <w:sz w:val="18"/>
                <w:szCs w:val="20"/>
              </w:rPr>
              <w:t xml:space="preserve"> injuries, Homicide/Assault, Misadventures to patients during surgical and medical care.</w:t>
            </w:r>
          </w:p>
          <w:p w:rsidR="00AC0C49" w:rsidRDefault="00AC0C49" w:rsidP="00AC0C49">
            <w:pPr>
              <w:rPr>
                <w:rFonts w:asciiTheme="minorHAnsi" w:hAnsiTheme="minorHAnsi" w:cs="Calibri"/>
                <w:color w:val="000000"/>
                <w:sz w:val="20"/>
                <w:szCs w:val="20"/>
              </w:rPr>
            </w:pPr>
          </w:p>
          <w:p w:rsidR="00AC0C49" w:rsidRDefault="00AC0C49" w:rsidP="00AC0C49">
            <w:pPr>
              <w:rPr>
                <w:rFonts w:asciiTheme="minorHAnsi" w:hAnsiTheme="minorHAnsi" w:cs="Calibri"/>
                <w:color w:val="000000"/>
                <w:sz w:val="16"/>
                <w:szCs w:val="20"/>
              </w:rPr>
            </w:pPr>
            <w:r w:rsidRPr="000F433B">
              <w:rPr>
                <w:rFonts w:asciiTheme="minorHAnsi" w:hAnsiTheme="minorHAnsi" w:cs="Calibri"/>
                <w:color w:val="000000"/>
                <w:sz w:val="16"/>
                <w:szCs w:val="20"/>
              </w:rPr>
              <w:t>*Age limits have been applied to the many of the causes included in the list. The selection of age limits should not be taken to mean that deaths from the selected causes for older persons are considered unavoidable, or that the condition will not respond well to treatment in older people.</w:t>
            </w:r>
          </w:p>
          <w:p w:rsidR="00AC0C49" w:rsidRPr="000F433B" w:rsidRDefault="00AC0C49" w:rsidP="00AC0C49">
            <w:pPr>
              <w:rPr>
                <w:rFonts w:asciiTheme="minorHAnsi" w:hAnsiTheme="minorHAnsi" w:cs="Calibri"/>
                <w:color w:val="000000"/>
                <w:sz w:val="16"/>
                <w:szCs w:val="20"/>
              </w:rPr>
            </w:pPr>
          </w:p>
          <w:p w:rsidR="00AC0C49" w:rsidRPr="00263115" w:rsidRDefault="00AC0C49" w:rsidP="00AC0C49">
            <w:pPr>
              <w:rPr>
                <w:rFonts w:asciiTheme="minorHAnsi" w:hAnsiTheme="minorHAnsi"/>
                <w:sz w:val="20"/>
              </w:rPr>
            </w:pPr>
            <w:r w:rsidRPr="00263115">
              <w:rPr>
                <w:rFonts w:asciiTheme="minorHAnsi" w:hAnsiTheme="minorHAnsi"/>
                <w:sz w:val="20"/>
                <w:szCs w:val="20"/>
              </w:rPr>
              <w:t xml:space="preserve">Although data are published for 5-year cohorts (e.g. 2010-2014), they can be produced for single years.  </w:t>
            </w:r>
          </w:p>
        </w:tc>
      </w:tr>
      <w:tr w:rsidR="00231F54" w:rsidRPr="008F671D" w:rsidTr="00AC0C49">
        <w:trPr>
          <w:trHeight w:val="340"/>
        </w:trPr>
        <w:tc>
          <w:tcPr>
            <w:tcW w:w="9139" w:type="dxa"/>
            <w:gridSpan w:val="2"/>
            <w:shd w:val="clear" w:color="auto" w:fill="D9D9D9" w:themeFill="background1" w:themeFillShade="D9"/>
            <w:vAlign w:val="center"/>
          </w:tcPr>
          <w:p w:rsidR="00231F54" w:rsidRPr="00907690" w:rsidRDefault="00231F54" w:rsidP="00231F54">
            <w:pPr>
              <w:rPr>
                <w:rFonts w:asciiTheme="minorHAnsi" w:hAnsiTheme="minorHAnsi"/>
                <w:b/>
                <w:sz w:val="20"/>
                <w:szCs w:val="20"/>
              </w:rPr>
            </w:pPr>
            <w:r w:rsidRPr="00907690">
              <w:rPr>
                <w:rFonts w:asciiTheme="minorHAnsi" w:hAnsiTheme="minorHAnsi"/>
                <w:b/>
                <w:sz w:val="20"/>
                <w:szCs w:val="20"/>
              </w:rPr>
              <w:lastRenderedPageBreak/>
              <w:t>Is this measure being used to monitor performance against your current/latest Departmental/ Agency Plan</w:t>
            </w:r>
          </w:p>
        </w:tc>
        <w:tc>
          <w:tcPr>
            <w:tcW w:w="1459"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r>
      <w:tr w:rsidR="00231F54" w:rsidRPr="008F671D" w:rsidTr="00AC0C49">
        <w:tc>
          <w:tcPr>
            <w:tcW w:w="9139" w:type="dxa"/>
            <w:gridSpan w:val="2"/>
            <w:shd w:val="clear" w:color="auto" w:fill="D9D9D9" w:themeFill="background1" w:themeFillShade="D9"/>
            <w:vAlign w:val="center"/>
          </w:tcPr>
          <w:p w:rsidR="00231F54" w:rsidRPr="00907690" w:rsidRDefault="00231F54" w:rsidP="00231F5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59"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N/A</w:t>
            </w: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231F54" w:rsidP="00F945FE">
            <w:pPr>
              <w:rPr>
                <w:rFonts w:asciiTheme="minorHAnsi" w:hAnsiTheme="minorHAnsi"/>
                <w:sz w:val="20"/>
                <w:szCs w:val="20"/>
              </w:rPr>
            </w:pPr>
            <w:r>
              <w:rPr>
                <w:rFonts w:asciiTheme="minorHAnsi" w:hAnsiTheme="minorHAnsi"/>
                <w:sz w:val="20"/>
                <w:szCs w:val="20"/>
              </w:rPr>
              <w:t>20</w:t>
            </w:r>
            <w:r w:rsidR="002F54FD">
              <w:rPr>
                <w:rFonts w:asciiTheme="minorHAnsi" w:hAnsiTheme="minorHAnsi"/>
                <w:sz w:val="20"/>
                <w:szCs w:val="20"/>
              </w:rPr>
              <w:t>10-</w:t>
            </w:r>
            <w:r>
              <w:rPr>
                <w:rFonts w:asciiTheme="minorHAnsi" w:hAnsiTheme="minorHAnsi"/>
                <w:sz w:val="20"/>
                <w:szCs w:val="20"/>
              </w:rPr>
              <w:t>14</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2F54FD" w:rsidP="003C4441">
            <w:pPr>
              <w:rPr>
                <w:rFonts w:asciiTheme="minorHAnsi" w:hAnsiTheme="minorHAnsi"/>
                <w:sz w:val="20"/>
                <w:szCs w:val="20"/>
              </w:rPr>
            </w:pPr>
            <w:r w:rsidRPr="002F54FD">
              <w:rPr>
                <w:rFonts w:asciiTheme="minorHAnsi" w:hAnsiTheme="minorHAnsi"/>
                <w:sz w:val="20"/>
                <w:szCs w:val="20"/>
              </w:rPr>
              <w:t>A change in the preventable mortality rate over time requires a statistically significant change in the NI rate to be observed or a clear and consistent trend over 4 or more years.</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Yes</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Yes</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Yes</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Yes</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Yes</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Yes</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AC0C49" w:rsidRPr="00B83D8B" w:rsidRDefault="00AC0C49" w:rsidP="00AC0C49">
            <w:pPr>
              <w:rPr>
                <w:rFonts w:asciiTheme="minorHAnsi" w:hAnsiTheme="minorHAnsi"/>
                <w:sz w:val="20"/>
                <w:szCs w:val="20"/>
              </w:rPr>
            </w:pPr>
            <w:r>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Not appropriate</w:t>
            </w: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345E2E" w:rsidRDefault="00AC0C49" w:rsidP="00AC0C49">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No</w:t>
            </w:r>
          </w:p>
        </w:tc>
        <w:tc>
          <w:tcPr>
            <w:tcW w:w="4536" w:type="dxa"/>
            <w:vAlign w:val="center"/>
          </w:tcPr>
          <w:p w:rsidR="00AC0C49" w:rsidRPr="00B83D8B" w:rsidRDefault="00AC0C49" w:rsidP="00AC0C49">
            <w:pPr>
              <w:rPr>
                <w:rFonts w:asciiTheme="minorHAnsi" w:hAnsiTheme="minorHAnsi"/>
                <w:sz w:val="20"/>
                <w:szCs w:val="20"/>
              </w:rPr>
            </w:pPr>
          </w:p>
        </w:tc>
      </w:tr>
      <w:tr w:rsidR="00AC0C49" w:rsidRPr="008F671D" w:rsidTr="00823C0A">
        <w:trPr>
          <w:trHeight w:val="454"/>
        </w:trPr>
        <w:tc>
          <w:tcPr>
            <w:tcW w:w="4219" w:type="dxa"/>
            <w:shd w:val="clear" w:color="auto" w:fill="D9D9D9" w:themeFill="background1" w:themeFillShade="D9"/>
            <w:vAlign w:val="center"/>
          </w:tcPr>
          <w:p w:rsidR="00AC0C49" w:rsidRPr="004C2627" w:rsidRDefault="00AC0C49" w:rsidP="00AC0C49">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C0C49" w:rsidRPr="00B83D8B" w:rsidRDefault="00AC0C49" w:rsidP="00AC0C49">
            <w:pPr>
              <w:rPr>
                <w:rFonts w:asciiTheme="minorHAnsi" w:hAnsiTheme="minorHAnsi"/>
                <w:sz w:val="20"/>
                <w:szCs w:val="20"/>
              </w:rPr>
            </w:pPr>
            <w:r w:rsidRPr="00B83D8B">
              <w:rPr>
                <w:rFonts w:asciiTheme="minorHAnsi" w:hAnsiTheme="minorHAnsi"/>
                <w:sz w:val="20"/>
                <w:szCs w:val="20"/>
              </w:rPr>
              <w:t>District Electoral Area</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9"/>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52" w:rsidRDefault="00503E52" w:rsidP="008F671D">
      <w:r>
        <w:separator/>
      </w:r>
    </w:p>
  </w:endnote>
  <w:endnote w:type="continuationSeparator" w:id="0">
    <w:p w:rsidR="00503E52" w:rsidRDefault="00503E52"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52" w:rsidRDefault="00503E52" w:rsidP="008F671D">
      <w:r>
        <w:separator/>
      </w:r>
    </w:p>
  </w:footnote>
  <w:footnote w:type="continuationSeparator" w:id="0">
    <w:p w:rsidR="00503E52" w:rsidRDefault="00503E52"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1F54"/>
    <w:rsid w:val="00235BC7"/>
    <w:rsid w:val="00254DA2"/>
    <w:rsid w:val="00282FAE"/>
    <w:rsid w:val="002C160C"/>
    <w:rsid w:val="002F54FD"/>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34F5"/>
    <w:rsid w:val="003E6FDF"/>
    <w:rsid w:val="003F0FF6"/>
    <w:rsid w:val="003F1D3A"/>
    <w:rsid w:val="003F74DA"/>
    <w:rsid w:val="00404AD8"/>
    <w:rsid w:val="00423C1B"/>
    <w:rsid w:val="00465B3F"/>
    <w:rsid w:val="00490179"/>
    <w:rsid w:val="0049269F"/>
    <w:rsid w:val="004A24D7"/>
    <w:rsid w:val="004D6771"/>
    <w:rsid w:val="00503E52"/>
    <w:rsid w:val="00535359"/>
    <w:rsid w:val="00542BC4"/>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D0190"/>
    <w:rsid w:val="007D4CA2"/>
    <w:rsid w:val="00806A6E"/>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A0388B"/>
    <w:rsid w:val="00A422E3"/>
    <w:rsid w:val="00A42C48"/>
    <w:rsid w:val="00A42FCB"/>
    <w:rsid w:val="00A4566B"/>
    <w:rsid w:val="00A535C2"/>
    <w:rsid w:val="00A71F94"/>
    <w:rsid w:val="00A85CFB"/>
    <w:rsid w:val="00AA3C83"/>
    <w:rsid w:val="00AC0C49"/>
    <w:rsid w:val="00AE2092"/>
    <w:rsid w:val="00AE6B78"/>
    <w:rsid w:val="00AF7E1A"/>
    <w:rsid w:val="00B151E2"/>
    <w:rsid w:val="00B6370C"/>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articles/public-health-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4B58E-D39D-4426-A0A8-AB536885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O'Neill</dc:creator>
  <cp:lastModifiedBy>Caolan Laverty</cp:lastModifiedBy>
  <cp:revision>4</cp:revision>
  <cp:lastPrinted>2016-04-11T13:16:00Z</cp:lastPrinted>
  <dcterms:created xsi:type="dcterms:W3CDTF">2020-01-14T15:40:00Z</dcterms:created>
  <dcterms:modified xsi:type="dcterms:W3CDTF">2020-01-14T16:11:00Z</dcterms:modified>
</cp:coreProperties>
</file>