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3227"/>
        <w:gridCol w:w="7545"/>
      </w:tblGrid>
      <w:tr w:rsidR="00D63A3A" w:rsidRPr="006E640F" w:rsidTr="00737C28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Indicator 40</w:t>
            </w: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45" w:type="dxa"/>
            <w:vAlign w:val="center"/>
          </w:tcPr>
          <w:p w:rsidR="00D63A3A" w:rsidRPr="00455B77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73A5">
              <w:rPr>
                <w:rFonts w:asciiTheme="minorHAnsi" w:hAnsiTheme="minorHAnsi" w:cs="Arial"/>
                <w:b/>
                <w:sz w:val="20"/>
                <w:szCs w:val="20"/>
              </w:rPr>
              <w:t>Nation Brands Index</w:t>
            </w:r>
          </w:p>
        </w:tc>
      </w:tr>
    </w:tbl>
    <w:p w:rsidR="00D63A3A" w:rsidRPr="006E640F" w:rsidRDefault="00D63A3A" w:rsidP="00D63A3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D63A3A" w:rsidRPr="006E640F" w:rsidTr="00737C2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D63A3A" w:rsidRPr="006E640F" w:rsidRDefault="00391220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Emma Morgan</w:t>
            </w:r>
            <w:r w:rsidR="00D63A3A" w:rsidRPr="006E640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63A3A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D63A3A" w:rsidRPr="006E640F">
              <w:rPr>
                <w:rFonts w:asciiTheme="minorHAnsi" w:hAnsiTheme="minorHAnsi"/>
                <w:sz w:val="20"/>
                <w:szCs w:val="20"/>
              </w:rPr>
              <w:t>Executive Office</w:t>
            </w:r>
          </w:p>
        </w:tc>
      </w:tr>
      <w:tr w:rsidR="00D63A3A" w:rsidRPr="006E640F" w:rsidTr="00737C2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D63A3A" w:rsidRPr="00391220" w:rsidRDefault="005F56B2" w:rsidP="00737C2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hyperlink r:id="rId8" w:history="1">
              <w:r w:rsidR="00081E58" w:rsidRPr="003912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https://www.executiveoffice-ni.gov.uk/publications/anholt-gf</w:t>
              </w:r>
              <w:r w:rsidR="00391220" w:rsidRPr="003912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k-roper-nation-brands-index-2018</w:t>
              </w:r>
              <w:r w:rsidR="00081E58" w:rsidRPr="003912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-report-northern-ireland</w:t>
              </w:r>
            </w:hyperlink>
          </w:p>
        </w:tc>
      </w:tr>
      <w:tr w:rsidR="00D63A3A" w:rsidRPr="006E640F" w:rsidTr="00737C2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D63A3A" w:rsidRPr="006E640F" w:rsidTr="00737C2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6-7 months</w:t>
            </w:r>
          </w:p>
        </w:tc>
      </w:tr>
      <w:tr w:rsidR="00D63A3A" w:rsidRPr="006E640F" w:rsidTr="00737C2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D63A3A" w:rsidRPr="00CE584A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584A">
              <w:rPr>
                <w:rFonts w:asciiTheme="minorHAnsi" w:hAnsiTheme="minorHAnsi"/>
                <w:sz w:val="20"/>
                <w:szCs w:val="20"/>
              </w:rPr>
              <w:t>Anholt</w:t>
            </w:r>
            <w:proofErr w:type="spellEnd"/>
            <w:r w:rsidRPr="00CE58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E584A">
              <w:rPr>
                <w:rFonts w:asciiTheme="minorHAnsi" w:hAnsiTheme="minorHAnsi"/>
                <w:sz w:val="20"/>
                <w:szCs w:val="20"/>
              </w:rPr>
              <w:t>GfK</w:t>
            </w:r>
            <w:proofErr w:type="spellEnd"/>
            <w:r w:rsidRPr="00CE584A">
              <w:rPr>
                <w:rFonts w:asciiTheme="minorHAnsi" w:hAnsiTheme="minorHAnsi"/>
                <w:sz w:val="20"/>
                <w:szCs w:val="20"/>
              </w:rPr>
              <w:t xml:space="preserve">-Roper Nation Brands </w:t>
            </w:r>
            <w:proofErr w:type="spellStart"/>
            <w:r w:rsidRPr="00CE584A">
              <w:rPr>
                <w:rFonts w:asciiTheme="minorHAnsi" w:hAnsiTheme="minorHAnsi"/>
                <w:sz w:val="20"/>
                <w:szCs w:val="20"/>
              </w:rPr>
              <w:t>Index</w:t>
            </w:r>
            <w:r w:rsidRPr="00CE584A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(NBI</w:t>
            </w:r>
            <w:r w:rsidRPr="00CE584A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63A3A" w:rsidRPr="006E640F" w:rsidTr="00737C2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1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D63A3A" w:rsidRPr="006E640F" w:rsidTr="00737C2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D63A3A" w:rsidRPr="008050E7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Currently being prepared</w:t>
            </w:r>
          </w:p>
        </w:tc>
      </w:tr>
      <w:tr w:rsidR="00D63A3A" w:rsidRPr="006E640F" w:rsidTr="00737C2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  <w:tr w:rsidR="00D63A3A" w:rsidRPr="006E640F" w:rsidTr="00737C28">
        <w:trPr>
          <w:trHeight w:val="114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63A3A" w:rsidRPr="00345E2E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D63A3A" w:rsidRPr="006E640F" w:rsidRDefault="00D63A3A" w:rsidP="00923F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1846">
              <w:rPr>
                <w:rFonts w:asciiTheme="minorHAnsi" w:hAnsiTheme="minorHAnsi"/>
                <w:sz w:val="20"/>
                <w:szCs w:val="20"/>
              </w:rPr>
              <w:t>Northern Ire</w:t>
            </w:r>
            <w:r w:rsidR="00391220">
              <w:rPr>
                <w:rFonts w:asciiTheme="minorHAnsi" w:hAnsiTheme="minorHAnsi"/>
                <w:sz w:val="20"/>
                <w:szCs w:val="20"/>
              </w:rPr>
              <w:t>land’s overall score on the 2018</w:t>
            </w:r>
            <w:r w:rsidRPr="006B1846">
              <w:rPr>
                <w:rFonts w:asciiTheme="minorHAnsi" w:hAnsiTheme="minorHAnsi"/>
                <w:sz w:val="20"/>
                <w:szCs w:val="20"/>
              </w:rPr>
              <w:t xml:space="preserve"> NBI</w:t>
            </w:r>
            <w:r w:rsidRPr="006B1846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 w:rsidR="00391220">
              <w:rPr>
                <w:rFonts w:asciiTheme="minorHAnsi" w:hAnsiTheme="minorHAnsi"/>
                <w:sz w:val="20"/>
                <w:szCs w:val="20"/>
              </w:rPr>
              <w:t xml:space="preserve"> was 58.71</w:t>
            </w:r>
            <w:r w:rsidRPr="006B1846">
              <w:rPr>
                <w:rFonts w:asciiTheme="minorHAnsi" w:hAnsiTheme="minorHAnsi"/>
                <w:sz w:val="20"/>
                <w:szCs w:val="20"/>
              </w:rPr>
              <w:t xml:space="preserve"> (scale of 1 to 100), </w:t>
            </w:r>
            <w:r w:rsidR="00391220">
              <w:rPr>
                <w:rFonts w:asciiTheme="minorHAnsi" w:hAnsiTheme="minorHAnsi"/>
                <w:sz w:val="20"/>
                <w:szCs w:val="20"/>
              </w:rPr>
              <w:t>a</w:t>
            </w:r>
            <w:r w:rsidR="00923FD7">
              <w:rPr>
                <w:rFonts w:asciiTheme="minorHAnsi" w:hAnsiTheme="minorHAnsi"/>
                <w:sz w:val="20"/>
                <w:szCs w:val="20"/>
              </w:rPr>
              <w:t>n increase of 0.78</w:t>
            </w:r>
            <w:r w:rsidR="00391220">
              <w:rPr>
                <w:rFonts w:asciiTheme="minorHAnsi" w:hAnsiTheme="minorHAnsi"/>
                <w:sz w:val="20"/>
                <w:szCs w:val="20"/>
              </w:rPr>
              <w:t xml:space="preserve"> points since </w:t>
            </w:r>
            <w:r w:rsidR="00923FD7">
              <w:rPr>
                <w:rFonts w:asciiTheme="minorHAnsi" w:hAnsiTheme="minorHAnsi"/>
                <w:sz w:val="20"/>
                <w:szCs w:val="20"/>
              </w:rPr>
              <w:t>2016</w:t>
            </w:r>
            <w:r w:rsidR="0039122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23FD7" w:rsidRPr="00923FD7">
              <w:rPr>
                <w:rFonts w:asciiTheme="minorHAnsi" w:hAnsiTheme="minorHAnsi"/>
                <w:sz w:val="20"/>
                <w:szCs w:val="20"/>
              </w:rPr>
              <w:t>57.93</w:t>
            </w:r>
            <w:r w:rsidR="006B1846" w:rsidRPr="006B1846">
              <w:rPr>
                <w:rFonts w:asciiTheme="minorHAnsi" w:hAnsiTheme="minorHAnsi"/>
                <w:sz w:val="20"/>
                <w:szCs w:val="20"/>
              </w:rPr>
              <w:t>) when</w:t>
            </w:r>
            <w:r w:rsidRPr="006B1846">
              <w:rPr>
                <w:rFonts w:asciiTheme="minorHAnsi" w:hAnsiTheme="minorHAnsi"/>
                <w:sz w:val="20"/>
                <w:szCs w:val="20"/>
              </w:rPr>
              <w:t xml:space="preserve"> it was</w:t>
            </w:r>
            <w:r w:rsidR="006B1846" w:rsidRPr="006B1846">
              <w:rPr>
                <w:rFonts w:asciiTheme="minorHAnsi" w:hAnsiTheme="minorHAnsi"/>
                <w:sz w:val="20"/>
                <w:szCs w:val="20"/>
              </w:rPr>
              <w:t xml:space="preserve"> first</w:t>
            </w:r>
            <w:r w:rsidRPr="006B1846">
              <w:rPr>
                <w:rFonts w:asciiTheme="minorHAnsi" w:hAnsiTheme="minorHAnsi"/>
                <w:sz w:val="20"/>
                <w:szCs w:val="20"/>
              </w:rPr>
              <w:t xml:space="preserve"> included in this survey. </w:t>
            </w:r>
          </w:p>
        </w:tc>
      </w:tr>
      <w:tr w:rsidR="00D63A3A" w:rsidRPr="006E640F" w:rsidTr="00737C28">
        <w:trPr>
          <w:trHeight w:val="6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D63A3A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Sample size (Northern Ireland): </w:t>
            </w:r>
            <w:r w:rsidR="00C965EA">
              <w:rPr>
                <w:rFonts w:asciiTheme="minorHAnsi" w:hAnsiTheme="minorHAnsi"/>
                <w:sz w:val="20"/>
                <w:szCs w:val="20"/>
              </w:rPr>
              <w:t>9,773</w:t>
            </w:r>
          </w:p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Confidence interval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(95%)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N/A </w:t>
            </w:r>
          </w:p>
        </w:tc>
      </w:tr>
      <w:tr w:rsidR="00D63A3A" w:rsidRPr="006E640F" w:rsidTr="00737C28">
        <w:trPr>
          <w:trHeight w:val="10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UK: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  <w:p w:rsidR="00D63A3A" w:rsidRPr="00BF40EB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 xml:space="preserve">UK Regional: </w:t>
            </w:r>
            <w:r>
              <w:rPr>
                <w:rFonts w:asciiTheme="minorHAnsi" w:hAnsiTheme="minorHAnsi"/>
                <w:sz w:val="20"/>
                <w:szCs w:val="20"/>
              </w:rPr>
              <w:t>No – although Scotland is included in the NBI</w:t>
            </w:r>
            <w:r w:rsidRPr="00CE584A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E640F"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 w:rsidRPr="006E640F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  <w:p w:rsidR="00D63A3A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 xml:space="preserve">International (please specify countries): </w:t>
            </w:r>
            <w:r>
              <w:rPr>
                <w:rFonts w:asciiTheme="minorHAnsi" w:hAnsiTheme="minorHAnsi"/>
                <w:sz w:val="20"/>
                <w:szCs w:val="20"/>
              </w:rPr>
              <w:t>Yes – Northern Ireland’s score is comparable to the 49 other nations who subscribe to the NBI</w:t>
            </w:r>
            <w:r w:rsidRPr="00CE584A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a given year. This can vary from year to year, depending on which nations subscrib</w:t>
            </w:r>
            <w:r w:rsidR="00081E58">
              <w:rPr>
                <w:rFonts w:asciiTheme="minorHAnsi" w:hAnsiTheme="minorHAnsi"/>
                <w:sz w:val="20"/>
                <w:szCs w:val="20"/>
              </w:rPr>
              <w:t xml:space="preserve">e. For example, between the </w:t>
            </w:r>
            <w:r w:rsidR="00C965EA">
              <w:rPr>
                <w:rFonts w:asciiTheme="minorHAnsi" w:hAnsiTheme="minorHAnsi"/>
                <w:sz w:val="20"/>
                <w:szCs w:val="20"/>
              </w:rPr>
              <w:t>2017</w:t>
            </w:r>
            <w:r w:rsidR="00081E58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C965EA">
              <w:rPr>
                <w:rFonts w:asciiTheme="minorHAnsi" w:hAnsiTheme="minorHAnsi"/>
                <w:sz w:val="20"/>
                <w:szCs w:val="20"/>
              </w:rPr>
              <w:t>2018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surveys, </w:t>
            </w:r>
            <w:r w:rsidR="00C965EA">
              <w:rPr>
                <w:rFonts w:asciiTheme="minorHAnsi" w:hAnsiTheme="minorHAnsi"/>
                <w:sz w:val="20"/>
                <w:szCs w:val="20"/>
              </w:rPr>
              <w:t>Botswana and Ecuador</w:t>
            </w:r>
            <w:r w:rsidR="00081E58">
              <w:rPr>
                <w:rFonts w:asciiTheme="minorHAnsi" w:hAnsiTheme="minorHAnsi"/>
                <w:sz w:val="20"/>
                <w:szCs w:val="20"/>
              </w:rPr>
              <w:t xml:space="preserve"> left</w:t>
            </w:r>
            <w:r w:rsidR="00C965EA">
              <w:rPr>
                <w:rFonts w:asciiTheme="minorHAnsi" w:hAnsiTheme="minorHAnsi"/>
                <w:sz w:val="20"/>
                <w:szCs w:val="20"/>
              </w:rPr>
              <w:t xml:space="preserve"> the survey, while Croatia and Jamaica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were added. </w:t>
            </w:r>
          </w:p>
          <w:p w:rsidR="00081E58" w:rsidRDefault="00081E58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1E58" w:rsidRPr="00081E58" w:rsidRDefault="00081E58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81E58">
              <w:rPr>
                <w:rFonts w:asciiTheme="minorHAnsi" w:hAnsiTheme="minorHAnsi"/>
                <w:b/>
                <w:sz w:val="20"/>
                <w:szCs w:val="20"/>
              </w:rPr>
              <w:t xml:space="preserve">Note: Comparisons with the UK, </w:t>
            </w:r>
            <w:proofErr w:type="spellStart"/>
            <w:r w:rsidRPr="00081E58">
              <w:rPr>
                <w:rFonts w:asciiTheme="minorHAnsi" w:hAnsiTheme="minorHAnsi"/>
                <w:b/>
                <w:sz w:val="20"/>
                <w:szCs w:val="20"/>
              </w:rPr>
              <w:t>RoI</w:t>
            </w:r>
            <w:proofErr w:type="spellEnd"/>
            <w:r w:rsidRPr="00081E58">
              <w:rPr>
                <w:rFonts w:asciiTheme="minorHAnsi" w:hAnsiTheme="minorHAnsi"/>
                <w:b/>
                <w:sz w:val="20"/>
                <w:szCs w:val="20"/>
              </w:rPr>
              <w:t xml:space="preserve"> a</w:t>
            </w:r>
            <w:r w:rsidR="00C959AB">
              <w:rPr>
                <w:rFonts w:asciiTheme="minorHAnsi" w:hAnsiTheme="minorHAnsi"/>
                <w:b/>
                <w:sz w:val="20"/>
                <w:szCs w:val="20"/>
              </w:rPr>
              <w:t>nd other countries are only possible if</w:t>
            </w:r>
            <w:r w:rsidRPr="00081E58">
              <w:rPr>
                <w:rFonts w:asciiTheme="minorHAnsi" w:hAnsiTheme="minorHAnsi"/>
                <w:b/>
                <w:sz w:val="20"/>
                <w:szCs w:val="20"/>
              </w:rPr>
              <w:t xml:space="preserve"> the</w:t>
            </w:r>
            <w:r w:rsidR="00C959AB">
              <w:rPr>
                <w:rFonts w:asciiTheme="minorHAnsi" w:hAnsiTheme="minorHAnsi"/>
                <w:b/>
                <w:sz w:val="20"/>
                <w:szCs w:val="20"/>
              </w:rPr>
              <w:t>se</w:t>
            </w:r>
            <w:r w:rsidRPr="00081E58">
              <w:rPr>
                <w:rFonts w:asciiTheme="minorHAnsi" w:hAnsiTheme="minorHAnsi"/>
                <w:b/>
                <w:sz w:val="20"/>
                <w:szCs w:val="20"/>
              </w:rPr>
              <w:t xml:space="preserve"> other participating nations choose to make their results publically available.</w:t>
            </w:r>
          </w:p>
          <w:p w:rsidR="00D63A3A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3A3A" w:rsidRPr="00CE584A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full list of pa</w:t>
            </w:r>
            <w:r w:rsidR="00081E58">
              <w:rPr>
                <w:rFonts w:asciiTheme="minorHAnsi" w:hAnsiTheme="minorHAnsi"/>
                <w:sz w:val="20"/>
                <w:szCs w:val="20"/>
              </w:rPr>
              <w:t xml:space="preserve">rticipating nations for the </w:t>
            </w:r>
            <w:r w:rsidR="00C965EA">
              <w:rPr>
                <w:rFonts w:asciiTheme="minorHAnsi" w:hAnsiTheme="minorHAnsi"/>
                <w:sz w:val="20"/>
                <w:szCs w:val="20"/>
              </w:rPr>
              <w:t>2018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NBI</w:t>
            </w:r>
            <w:r w:rsidRPr="00CE584A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is as follows:</w:t>
            </w:r>
          </w:p>
          <w:p w:rsidR="00D63A3A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3A3A" w:rsidRPr="00CE584A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CE584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North America: </w:t>
            </w:r>
            <w:r w:rsidR="00081E58">
              <w:rPr>
                <w:rFonts w:asciiTheme="minorHAnsi" w:hAnsiTheme="minorHAnsi"/>
                <w:sz w:val="20"/>
                <w:szCs w:val="20"/>
              </w:rPr>
              <w:t xml:space="preserve">Canada, </w:t>
            </w:r>
            <w:r>
              <w:rPr>
                <w:rFonts w:asciiTheme="minorHAnsi" w:hAnsiTheme="minorHAnsi"/>
                <w:sz w:val="20"/>
                <w:szCs w:val="20"/>
              </w:rPr>
              <w:t>The US</w:t>
            </w:r>
          </w:p>
          <w:p w:rsidR="00081E58" w:rsidRPr="00081E58" w:rsidRDefault="00D63A3A" w:rsidP="00081E58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CE584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Western Europe: </w:t>
            </w:r>
            <w:r w:rsidR="00C965EA" w:rsidRPr="00C965EA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Austria, Belgium, Denmark, Finland, France, Germany, Greece, Holland, Ireland, Italy, Northern Ireland, Norway , Scotland, Spain, Sweden, Switzerland, the United Kingdom</w:t>
            </w:r>
          </w:p>
          <w:p w:rsidR="00D63A3A" w:rsidRPr="00C965EA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CE584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Central/Eastern Europe: </w:t>
            </w:r>
            <w:r w:rsidR="00C965EA" w:rsidRPr="00C965EA">
              <w:rPr>
                <w:rFonts w:asciiTheme="minorHAnsi" w:hAnsiTheme="minorHAnsi"/>
                <w:bCs/>
                <w:sz w:val="20"/>
                <w:szCs w:val="20"/>
              </w:rPr>
              <w:t xml:space="preserve">Croatia , Czech Republic, Hungary, </w:t>
            </w:r>
            <w:r w:rsidR="00C965EA">
              <w:rPr>
                <w:rFonts w:asciiTheme="minorHAnsi" w:hAnsiTheme="minorHAnsi"/>
                <w:bCs/>
                <w:sz w:val="20"/>
                <w:szCs w:val="20"/>
              </w:rPr>
              <w:t>Poland, Russia, Turkey, Ukraine</w:t>
            </w:r>
          </w:p>
          <w:p w:rsidR="007A5B67" w:rsidRPr="00D733CA" w:rsidRDefault="00D63A3A" w:rsidP="007A5B6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584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Asia-Pacific: </w:t>
            </w:r>
            <w:r w:rsidR="00C965EA" w:rsidRPr="00C965EA">
              <w:rPr>
                <w:rFonts w:asciiTheme="minorHAnsi" w:hAnsiTheme="minorHAnsi"/>
                <w:bCs/>
                <w:sz w:val="20"/>
                <w:szCs w:val="20"/>
              </w:rPr>
              <w:t>Australia, China, India, Indonesia, Japan, New Zealand, Singapore, South Korea, Taiwan, Thailand</w:t>
            </w:r>
          </w:p>
          <w:p w:rsidR="00D63A3A" w:rsidRPr="00C965EA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CE584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Latin America: </w:t>
            </w:r>
            <w:r w:rsidR="00C965EA" w:rsidRPr="00C965EA">
              <w:rPr>
                <w:rFonts w:asciiTheme="minorHAnsi" w:hAnsiTheme="minorHAnsi"/>
                <w:bCs/>
                <w:sz w:val="20"/>
                <w:szCs w:val="20"/>
              </w:rPr>
              <w:t>Argentina, B</w:t>
            </w:r>
            <w:r w:rsidR="00C965EA">
              <w:rPr>
                <w:rFonts w:asciiTheme="minorHAnsi" w:hAnsiTheme="minorHAnsi"/>
                <w:bCs/>
                <w:sz w:val="20"/>
                <w:szCs w:val="20"/>
              </w:rPr>
              <w:t>razil, Chile, Colombia, Jamaica</w:t>
            </w:r>
            <w:r w:rsidR="00C965EA" w:rsidRPr="00C965EA">
              <w:rPr>
                <w:rFonts w:asciiTheme="minorHAnsi" w:hAnsiTheme="minorHAnsi"/>
                <w:bCs/>
                <w:sz w:val="20"/>
                <w:szCs w:val="20"/>
              </w:rPr>
              <w:t>, Mexico, Peru</w:t>
            </w:r>
          </w:p>
          <w:p w:rsidR="00D63A3A" w:rsidRPr="00C965EA" w:rsidRDefault="00D63A3A" w:rsidP="00C965E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584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Middle East/Africa: </w:t>
            </w:r>
            <w:r w:rsidR="00C965EA" w:rsidRPr="00C965EA">
              <w:rPr>
                <w:rFonts w:asciiTheme="minorHAnsi" w:hAnsiTheme="minorHAnsi"/>
                <w:bCs/>
                <w:sz w:val="20"/>
                <w:szCs w:val="20"/>
              </w:rPr>
              <w:t>Egypt, Kenya, Nigeria, Qatar, Saudi Arabia, South Africa, United Arab Emirates</w:t>
            </w:r>
          </w:p>
        </w:tc>
      </w:tr>
      <w:tr w:rsidR="00D63A3A" w:rsidRPr="006E640F" w:rsidTr="00737C28">
        <w:trPr>
          <w:trHeight w:val="141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  <w:vAlign w:val="center"/>
          </w:tcPr>
          <w:p w:rsidR="00D63A3A" w:rsidRPr="00434B7F" w:rsidRDefault="00D63A3A" w:rsidP="00737C28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777E8">
              <w:rPr>
                <w:rFonts w:asciiTheme="minorHAnsi" w:hAnsiTheme="minorHAnsi"/>
                <w:sz w:val="20"/>
                <w:szCs w:val="20"/>
              </w:rPr>
              <w:t xml:space="preserve">Conscious efforts are made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by GfK, the data supplier, </w:t>
            </w:r>
            <w:r w:rsidRPr="00D777E8">
              <w:rPr>
                <w:rFonts w:asciiTheme="minorHAnsi" w:hAnsiTheme="minorHAnsi"/>
                <w:sz w:val="20"/>
                <w:szCs w:val="20"/>
              </w:rPr>
              <w:t>to keep the NBI</w:t>
            </w:r>
            <w:r w:rsidRPr="00D777E8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 w:rsidRPr="00D777E8">
              <w:rPr>
                <w:rFonts w:asciiTheme="minorHAnsi" w:hAnsiTheme="minorHAnsi"/>
                <w:sz w:val="20"/>
                <w:szCs w:val="20"/>
              </w:rPr>
              <w:t xml:space="preserve"> methodology comparable to previous years, including questionnaire content, sample design, sampling techniques, fieldwork procedures, and data processing, to facilitate comparisons between years.</w:t>
            </w:r>
            <w:r w:rsidRPr="006A789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63A3A" w:rsidRPr="006E640F" w:rsidTr="00737C2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D63A3A" w:rsidRPr="006E640F" w:rsidTr="00737C28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7371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</w:tbl>
    <w:p w:rsidR="00D63A3A" w:rsidRDefault="00D63A3A" w:rsidP="00D63A3A">
      <w:pPr>
        <w:rPr>
          <w:rFonts w:asciiTheme="minorHAnsi" w:hAnsiTheme="minorHAnsi"/>
          <w:sz w:val="20"/>
          <w:szCs w:val="20"/>
        </w:rPr>
      </w:pPr>
    </w:p>
    <w:p w:rsidR="005F56B2" w:rsidRDefault="005F56B2" w:rsidP="005F56B2">
      <w:pPr>
        <w:rPr>
          <w:rFonts w:asciiTheme="minorHAnsi" w:hAnsiTheme="minorHAnsi"/>
          <w:sz w:val="20"/>
          <w:szCs w:val="20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5F56B2" w:rsidRPr="00DC13FC" w:rsidTr="00862418">
        <w:tc>
          <w:tcPr>
            <w:tcW w:w="3261" w:type="dxa"/>
            <w:shd w:val="clear" w:color="auto" w:fill="D9D9D9" w:themeFill="background1" w:themeFillShade="D9"/>
          </w:tcPr>
          <w:p w:rsidR="005F56B2" w:rsidRPr="00DC13FC" w:rsidRDefault="005F56B2" w:rsidP="008624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371" w:type="dxa"/>
          </w:tcPr>
          <w:p w:rsidR="005F56B2" w:rsidRPr="00DC13FC" w:rsidRDefault="005F56B2" w:rsidP="008624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6B2" w:rsidRPr="00DC13FC" w:rsidTr="00862418">
        <w:tc>
          <w:tcPr>
            <w:tcW w:w="3261" w:type="dxa"/>
            <w:shd w:val="clear" w:color="auto" w:fill="D9D9D9" w:themeFill="background1" w:themeFillShade="D9"/>
          </w:tcPr>
          <w:p w:rsidR="005F56B2" w:rsidRPr="00DC13FC" w:rsidRDefault="005F56B2" w:rsidP="008624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371" w:type="dxa"/>
          </w:tcPr>
          <w:p w:rsidR="005F56B2" w:rsidRPr="00DC13FC" w:rsidRDefault="005F56B2" w:rsidP="008624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  <w:tr w:rsidR="005F56B2" w:rsidRPr="00DC13FC" w:rsidTr="00862418">
        <w:trPr>
          <w:trHeight w:val="496"/>
        </w:trPr>
        <w:tc>
          <w:tcPr>
            <w:tcW w:w="3261" w:type="dxa"/>
            <w:shd w:val="clear" w:color="auto" w:fill="D9D9D9" w:themeFill="background1" w:themeFillShade="D9"/>
          </w:tcPr>
          <w:p w:rsidR="005F56B2" w:rsidRPr="00DC13FC" w:rsidRDefault="005F56B2" w:rsidP="008624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371" w:type="dxa"/>
          </w:tcPr>
          <w:p w:rsidR="005F56B2" w:rsidRPr="00DC13FC" w:rsidRDefault="005F56B2" w:rsidP="008624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+/- 1.00 point change on the overall NBI score</w:t>
            </w:r>
          </w:p>
        </w:tc>
      </w:tr>
    </w:tbl>
    <w:p w:rsidR="005F56B2" w:rsidRDefault="005F56B2" w:rsidP="005F56B2"/>
    <w:p w:rsidR="00D63A3A" w:rsidRDefault="00D63A3A" w:rsidP="00D63A3A"/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D63A3A" w:rsidRPr="006E640F" w:rsidTr="00737C28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345E2E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</w:tcPr>
          <w:p w:rsidR="00D63A3A" w:rsidRDefault="00D63A3A" w:rsidP="00737C28">
            <w:r w:rsidRPr="00007A62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A3A" w:rsidRPr="006E640F" w:rsidTr="00737C28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63A3A" w:rsidRPr="004C2627" w:rsidRDefault="00D63A3A" w:rsidP="00737C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D63A3A" w:rsidRPr="006E640F" w:rsidRDefault="00D63A3A" w:rsidP="00737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 Level</w:t>
            </w:r>
          </w:p>
        </w:tc>
      </w:tr>
    </w:tbl>
    <w:p w:rsidR="00D63A3A" w:rsidRDefault="00D63A3A" w:rsidP="00D63A3A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D63A3A" w:rsidRPr="000E15DF" w:rsidRDefault="00D63A3A" w:rsidP="00D63A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Note: While disaggregation of the data is possible, it is not applicable here, given where that the respondents are drawn from 20 </w:t>
      </w:r>
      <w:r w:rsidRPr="008372C7">
        <w:rPr>
          <w:rFonts w:asciiTheme="minorHAnsi" w:hAnsiTheme="minorHAnsi"/>
          <w:sz w:val="20"/>
          <w:szCs w:val="20"/>
        </w:rPr>
        <w:t>major developed and developing countries</w:t>
      </w:r>
      <w:r>
        <w:rPr>
          <w:rFonts w:asciiTheme="minorHAnsi" w:hAnsiTheme="minorHAnsi"/>
          <w:sz w:val="20"/>
          <w:szCs w:val="20"/>
        </w:rPr>
        <w:t xml:space="preserve"> (for a full list of countries please see the methodological document: </w:t>
      </w:r>
      <w:hyperlink r:id="rId9" w:history="1">
        <w:r w:rsidR="00081E58" w:rsidRPr="00C965EA">
          <w:rPr>
            <w:rStyle w:val="Hyperlink"/>
            <w:rFonts w:asciiTheme="minorHAnsi" w:hAnsiTheme="minorHAnsi"/>
            <w:sz w:val="20"/>
            <w:szCs w:val="20"/>
          </w:rPr>
          <w:t>https://www.executiveoffice-ni.gov.uk/publications/anholt-gf</w:t>
        </w:r>
        <w:r w:rsidR="00C965EA" w:rsidRPr="00C965EA">
          <w:rPr>
            <w:rStyle w:val="Hyperlink"/>
            <w:rFonts w:asciiTheme="minorHAnsi" w:hAnsiTheme="minorHAnsi"/>
            <w:sz w:val="20"/>
            <w:szCs w:val="20"/>
          </w:rPr>
          <w:t>k-roper-nation-brands-index-2018</w:t>
        </w:r>
        <w:r w:rsidR="00081E58" w:rsidRPr="00C965EA">
          <w:rPr>
            <w:rStyle w:val="Hyperlink"/>
            <w:rFonts w:asciiTheme="minorHAnsi" w:hAnsiTheme="minorHAnsi"/>
            <w:sz w:val="20"/>
            <w:szCs w:val="20"/>
          </w:rPr>
          <w:t>-report-northern-ireland</w:t>
        </w:r>
      </w:hyperlink>
      <w:r>
        <w:rPr>
          <w:rFonts w:asciiTheme="minorHAnsi" w:hAnsiTheme="minorHAnsi"/>
          <w:sz w:val="20"/>
          <w:szCs w:val="20"/>
        </w:rPr>
        <w:t>).</w:t>
      </w:r>
    </w:p>
    <w:p w:rsidR="00D63A3A" w:rsidRDefault="00D63A3A" w:rsidP="00D63A3A">
      <w:pPr>
        <w:rPr>
          <w:rFonts w:asciiTheme="minorHAnsi" w:hAnsiTheme="minorHAnsi"/>
          <w:sz w:val="20"/>
          <w:szCs w:val="20"/>
        </w:rPr>
      </w:pPr>
    </w:p>
    <w:p w:rsidR="00D63A3A" w:rsidRDefault="00D63A3A" w:rsidP="00D63A3A">
      <w:pPr>
        <w:rPr>
          <w:rFonts w:asciiTheme="minorHAnsi" w:hAnsiTheme="minorHAnsi"/>
          <w:sz w:val="20"/>
          <w:szCs w:val="20"/>
        </w:rPr>
      </w:pPr>
    </w:p>
    <w:p w:rsidR="00D63A3A" w:rsidRPr="004246B5" w:rsidRDefault="00D63A3A" w:rsidP="00D63A3A">
      <w:pPr>
        <w:rPr>
          <w:rFonts w:asciiTheme="minorHAnsi" w:hAnsiTheme="minorHAnsi"/>
          <w:sz w:val="20"/>
          <w:szCs w:val="20"/>
        </w:rPr>
      </w:pPr>
    </w:p>
    <w:p w:rsidR="000D49F8" w:rsidRDefault="000D49F8">
      <w:pPr>
        <w:spacing w:after="200" w:line="276" w:lineRule="auto"/>
        <w:rPr>
          <w:rFonts w:asciiTheme="minorHAnsi" w:hAnsiTheme="minorHAnsi"/>
          <w:b/>
        </w:rPr>
      </w:pPr>
    </w:p>
    <w:sectPr w:rsidR="000D49F8" w:rsidSect="008F671D">
      <w:headerReference w:type="default" r:id="rId10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74" w:rsidRDefault="00BD0974" w:rsidP="008F671D">
      <w:r>
        <w:separator/>
      </w:r>
    </w:p>
  </w:endnote>
  <w:endnote w:type="continuationSeparator" w:id="0">
    <w:p w:rsidR="00BD0974" w:rsidRDefault="00BD0974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74" w:rsidRDefault="00BD0974" w:rsidP="008F671D">
      <w:r>
        <w:separator/>
      </w:r>
    </w:p>
  </w:footnote>
  <w:footnote w:type="continuationSeparator" w:id="0">
    <w:p w:rsidR="00BD0974" w:rsidRDefault="00BD0974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74" w:rsidRPr="00E14E8E" w:rsidRDefault="00BD0974" w:rsidP="00366084">
    <w:pPr>
      <w:rPr>
        <w:rFonts w:asciiTheme="minorHAnsi" w:hAnsiTheme="minorHAnsi" w:cs="Arial"/>
        <w:b/>
        <w:color w:val="808080" w:themeColor="background1" w:themeShade="80"/>
        <w:sz w:val="28"/>
      </w:rPr>
    </w:pPr>
    <w:r>
      <w:rPr>
        <w:rFonts w:asciiTheme="minorHAnsi" w:hAnsiTheme="minorHAnsi" w:cs="Arial"/>
        <w:b/>
        <w:color w:val="808080" w:themeColor="background1" w:themeShade="80"/>
        <w:sz w:val="28"/>
      </w:rPr>
      <w:t>PFG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MEASUREMENT ANNEX</w:t>
    </w:r>
    <w:r>
      <w:rPr>
        <w:rFonts w:asciiTheme="minorHAnsi" w:hAnsiTheme="minorHAnsi" w:cs="Arial"/>
        <w:b/>
        <w:color w:val="808080" w:themeColor="background1" w:themeShade="80"/>
        <w:sz w:val="28"/>
      </w:rPr>
      <w:t>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6C9"/>
    <w:multiLevelType w:val="hybridMultilevel"/>
    <w:tmpl w:val="82381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4673A"/>
    <w:multiLevelType w:val="hybridMultilevel"/>
    <w:tmpl w:val="D950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0EE6"/>
    <w:multiLevelType w:val="hybridMultilevel"/>
    <w:tmpl w:val="FECC84A0"/>
    <w:lvl w:ilvl="0" w:tplc="9FEA7A9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3BEB"/>
    <w:multiLevelType w:val="hybridMultilevel"/>
    <w:tmpl w:val="D75EB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7326BB"/>
    <w:multiLevelType w:val="hybridMultilevel"/>
    <w:tmpl w:val="4942D086"/>
    <w:lvl w:ilvl="0" w:tplc="30801D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572E0"/>
    <w:multiLevelType w:val="hybridMultilevel"/>
    <w:tmpl w:val="74321286"/>
    <w:lvl w:ilvl="0" w:tplc="417805C4">
      <w:start w:val="1"/>
      <w:numFmt w:val="upp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046CB"/>
    <w:rsid w:val="0001346D"/>
    <w:rsid w:val="000200B0"/>
    <w:rsid w:val="000366F3"/>
    <w:rsid w:val="00040537"/>
    <w:rsid w:val="00040DC7"/>
    <w:rsid w:val="00043EBE"/>
    <w:rsid w:val="0005066C"/>
    <w:rsid w:val="000567D4"/>
    <w:rsid w:val="000708A0"/>
    <w:rsid w:val="000739CF"/>
    <w:rsid w:val="00081E58"/>
    <w:rsid w:val="000839BE"/>
    <w:rsid w:val="000D49F8"/>
    <w:rsid w:val="000E096D"/>
    <w:rsid w:val="000E0E36"/>
    <w:rsid w:val="000F0A8D"/>
    <w:rsid w:val="000F3EE7"/>
    <w:rsid w:val="00112938"/>
    <w:rsid w:val="001410C8"/>
    <w:rsid w:val="0016011D"/>
    <w:rsid w:val="001668A0"/>
    <w:rsid w:val="00181A53"/>
    <w:rsid w:val="001849F8"/>
    <w:rsid w:val="001863BB"/>
    <w:rsid w:val="001A7C4B"/>
    <w:rsid w:val="001B6978"/>
    <w:rsid w:val="001C2C68"/>
    <w:rsid w:val="001D69FA"/>
    <w:rsid w:val="00211FAA"/>
    <w:rsid w:val="002252E5"/>
    <w:rsid w:val="00254DA2"/>
    <w:rsid w:val="00272E3F"/>
    <w:rsid w:val="002A379C"/>
    <w:rsid w:val="002A39C6"/>
    <w:rsid w:val="002C726C"/>
    <w:rsid w:val="002D567A"/>
    <w:rsid w:val="002F0739"/>
    <w:rsid w:val="00316D9E"/>
    <w:rsid w:val="00345E2E"/>
    <w:rsid w:val="003512CC"/>
    <w:rsid w:val="003530F6"/>
    <w:rsid w:val="003561D8"/>
    <w:rsid w:val="00357289"/>
    <w:rsid w:val="00357CC1"/>
    <w:rsid w:val="00366084"/>
    <w:rsid w:val="00372264"/>
    <w:rsid w:val="00391220"/>
    <w:rsid w:val="00397346"/>
    <w:rsid w:val="00397F49"/>
    <w:rsid w:val="003D2C73"/>
    <w:rsid w:val="003E6FDF"/>
    <w:rsid w:val="003F74DA"/>
    <w:rsid w:val="004045DE"/>
    <w:rsid w:val="0042761A"/>
    <w:rsid w:val="0044239E"/>
    <w:rsid w:val="0044382E"/>
    <w:rsid w:val="0045534F"/>
    <w:rsid w:val="00461FC3"/>
    <w:rsid w:val="0047111B"/>
    <w:rsid w:val="0048784C"/>
    <w:rsid w:val="004A220C"/>
    <w:rsid w:val="005045A2"/>
    <w:rsid w:val="00545747"/>
    <w:rsid w:val="00551C1E"/>
    <w:rsid w:val="00561F4F"/>
    <w:rsid w:val="00563F17"/>
    <w:rsid w:val="0056503D"/>
    <w:rsid w:val="005C79AD"/>
    <w:rsid w:val="005D451A"/>
    <w:rsid w:val="005E6EB5"/>
    <w:rsid w:val="005F56B2"/>
    <w:rsid w:val="006007C9"/>
    <w:rsid w:val="006142AF"/>
    <w:rsid w:val="00623DCE"/>
    <w:rsid w:val="006476B9"/>
    <w:rsid w:val="0067249C"/>
    <w:rsid w:val="00673A89"/>
    <w:rsid w:val="00681C7B"/>
    <w:rsid w:val="006B0988"/>
    <w:rsid w:val="006B1846"/>
    <w:rsid w:val="006C594C"/>
    <w:rsid w:val="006D6E49"/>
    <w:rsid w:val="006F25AD"/>
    <w:rsid w:val="00706F59"/>
    <w:rsid w:val="0071186C"/>
    <w:rsid w:val="00735E57"/>
    <w:rsid w:val="00737C28"/>
    <w:rsid w:val="00760BBC"/>
    <w:rsid w:val="00770017"/>
    <w:rsid w:val="007763F1"/>
    <w:rsid w:val="007776FB"/>
    <w:rsid w:val="00790F8B"/>
    <w:rsid w:val="007A17AE"/>
    <w:rsid w:val="007A5B67"/>
    <w:rsid w:val="007D0190"/>
    <w:rsid w:val="007D7017"/>
    <w:rsid w:val="007E423C"/>
    <w:rsid w:val="00806A6E"/>
    <w:rsid w:val="00832D30"/>
    <w:rsid w:val="00837744"/>
    <w:rsid w:val="00847198"/>
    <w:rsid w:val="0085076C"/>
    <w:rsid w:val="008567DD"/>
    <w:rsid w:val="00872F87"/>
    <w:rsid w:val="00881BD7"/>
    <w:rsid w:val="008B0965"/>
    <w:rsid w:val="008B6781"/>
    <w:rsid w:val="008C1427"/>
    <w:rsid w:val="008D3291"/>
    <w:rsid w:val="008F0850"/>
    <w:rsid w:val="008F671D"/>
    <w:rsid w:val="008F7973"/>
    <w:rsid w:val="00905376"/>
    <w:rsid w:val="00923FD7"/>
    <w:rsid w:val="009373F2"/>
    <w:rsid w:val="009416F1"/>
    <w:rsid w:val="009427DE"/>
    <w:rsid w:val="00957058"/>
    <w:rsid w:val="00967A41"/>
    <w:rsid w:val="00977923"/>
    <w:rsid w:val="0098149F"/>
    <w:rsid w:val="00990A8A"/>
    <w:rsid w:val="009E4C9E"/>
    <w:rsid w:val="00A17AC7"/>
    <w:rsid w:val="00A30C5E"/>
    <w:rsid w:val="00A42A7B"/>
    <w:rsid w:val="00A43377"/>
    <w:rsid w:val="00A535C2"/>
    <w:rsid w:val="00A72C1B"/>
    <w:rsid w:val="00A8798C"/>
    <w:rsid w:val="00AA1225"/>
    <w:rsid w:val="00AD17E7"/>
    <w:rsid w:val="00AE062C"/>
    <w:rsid w:val="00AE6B78"/>
    <w:rsid w:val="00B33157"/>
    <w:rsid w:val="00B507A5"/>
    <w:rsid w:val="00B6370C"/>
    <w:rsid w:val="00B676AC"/>
    <w:rsid w:val="00B7261E"/>
    <w:rsid w:val="00BB44FD"/>
    <w:rsid w:val="00BC750D"/>
    <w:rsid w:val="00BD0974"/>
    <w:rsid w:val="00BD4124"/>
    <w:rsid w:val="00C11126"/>
    <w:rsid w:val="00C32326"/>
    <w:rsid w:val="00C44295"/>
    <w:rsid w:val="00C476A1"/>
    <w:rsid w:val="00C816CF"/>
    <w:rsid w:val="00C851C9"/>
    <w:rsid w:val="00C87057"/>
    <w:rsid w:val="00C959AB"/>
    <w:rsid w:val="00C965EA"/>
    <w:rsid w:val="00CA050E"/>
    <w:rsid w:val="00CD0DB1"/>
    <w:rsid w:val="00CD24D4"/>
    <w:rsid w:val="00CE287C"/>
    <w:rsid w:val="00CE624B"/>
    <w:rsid w:val="00D1744D"/>
    <w:rsid w:val="00D4651A"/>
    <w:rsid w:val="00D63A3A"/>
    <w:rsid w:val="00D75B53"/>
    <w:rsid w:val="00DC4350"/>
    <w:rsid w:val="00DD0082"/>
    <w:rsid w:val="00DE5ACB"/>
    <w:rsid w:val="00DF3F07"/>
    <w:rsid w:val="00E0174B"/>
    <w:rsid w:val="00E13B3E"/>
    <w:rsid w:val="00E13B62"/>
    <w:rsid w:val="00E14E8E"/>
    <w:rsid w:val="00E329E7"/>
    <w:rsid w:val="00E93CDB"/>
    <w:rsid w:val="00EC5B89"/>
    <w:rsid w:val="00ED154A"/>
    <w:rsid w:val="00EF2DD6"/>
    <w:rsid w:val="00EF721E"/>
    <w:rsid w:val="00F055B8"/>
    <w:rsid w:val="00F23582"/>
    <w:rsid w:val="00F24A0D"/>
    <w:rsid w:val="00F437E9"/>
    <w:rsid w:val="00F44696"/>
    <w:rsid w:val="00F44960"/>
    <w:rsid w:val="00F526BD"/>
    <w:rsid w:val="00F71D21"/>
    <w:rsid w:val="00F8103C"/>
    <w:rsid w:val="00F81E8B"/>
    <w:rsid w:val="00FA4583"/>
    <w:rsid w:val="00FA588C"/>
    <w:rsid w:val="00FB3681"/>
    <w:rsid w:val="00FB47D0"/>
    <w:rsid w:val="00FD1C7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1DDCED1-B645-4427-99B1-4F2C9550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FD1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3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EBE"/>
    <w:pPr>
      <w:spacing w:after="20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E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BE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B44FD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D174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2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737C28"/>
    <w:pPr>
      <w:spacing w:after="0" w:line="240" w:lineRule="auto"/>
    </w:pPr>
    <w:rPr>
      <w:rFonts w:ascii="Arial" w:eastAsia="Calibri" w:hAnsi="Arial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81E5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E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E5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F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cutiveoffice-ni.gov.uk/publications/anholt-gfk-roper-nation-brands-index-2018-report-northern-irel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xecutiveoffice-ni.gov.uk/publications/anholt-gfk-roper-nation-brands-index-2018-report-northern-ir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483D-8045-4758-B051-368EE6B0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Niall O'Neill</cp:lastModifiedBy>
  <cp:revision>3</cp:revision>
  <cp:lastPrinted>2016-04-11T13:16:00Z</cp:lastPrinted>
  <dcterms:created xsi:type="dcterms:W3CDTF">2019-05-14T08:38:00Z</dcterms:created>
  <dcterms:modified xsi:type="dcterms:W3CDTF">2019-05-14T08:39:00Z</dcterms:modified>
</cp:coreProperties>
</file>