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2356DF" w:rsidP="00FB4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/>
                <w:b/>
                <w:sz w:val="20"/>
                <w:szCs w:val="20"/>
              </w:rPr>
              <w:t>Indicator 40</w:t>
            </w:r>
            <w:r w:rsidR="00FA749E" w:rsidRPr="00FA749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3E6FDF" w:rsidRPr="0095273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2356DF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56DF">
              <w:rPr>
                <w:rFonts w:asciiTheme="minorHAnsi" w:hAnsiTheme="minorHAnsi"/>
                <w:b/>
                <w:sz w:val="20"/>
                <w:szCs w:val="20"/>
              </w:rPr>
              <w:t>Nation Brands Index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Joanne Cartland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391220" w:rsidRDefault="002356DF" w:rsidP="002356D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8" w:history="1">
              <w:r w:rsidRPr="001826B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https://www.executiveoffice-ni.gov.uk/publications/nation-brands-index-2019-report-northern-ireland</w:t>
              </w:r>
            </w:hyperlink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 months</w:t>
            </w:r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CE584A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584A">
              <w:rPr>
                <w:rFonts w:asciiTheme="minorHAnsi" w:hAnsiTheme="minorHAnsi"/>
                <w:sz w:val="20"/>
                <w:szCs w:val="20"/>
              </w:rPr>
              <w:t>Anholt</w:t>
            </w:r>
            <w:proofErr w:type="spellEnd"/>
            <w:r w:rsidRPr="00CE58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584A">
              <w:rPr>
                <w:rFonts w:asciiTheme="minorHAnsi" w:hAnsiTheme="minorHAnsi"/>
                <w:sz w:val="20"/>
                <w:szCs w:val="20"/>
              </w:rPr>
              <w:t xml:space="preserve">Nation Brands </w:t>
            </w:r>
            <w:proofErr w:type="spellStart"/>
            <w:r w:rsidRPr="00CE584A">
              <w:rPr>
                <w:rFonts w:asciiTheme="minorHAnsi" w:hAnsiTheme="minorHAnsi"/>
                <w:sz w:val="20"/>
                <w:szCs w:val="20"/>
              </w:rPr>
              <w:t>Index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8050E7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Available from </w:t>
            </w:r>
            <w:hyperlink r:id="rId9" w:history="1">
              <w:r w:rsidRPr="001826B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https://www.executiveoffice-ni.gov.uk/publications/nation-brands-index-2019-report-northern-ireland</w:t>
              </w:r>
            </w:hyperlink>
          </w:p>
        </w:tc>
      </w:tr>
      <w:tr w:rsidR="002356D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2356DF" w:rsidRPr="008F671D" w:rsidTr="002356DF">
        <w:trPr>
          <w:trHeight w:val="85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4D6771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2356DF" w:rsidRPr="00B8684A" w:rsidRDefault="002356DF" w:rsidP="002356DF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2356DF" w:rsidRPr="00B8684A" w:rsidRDefault="002356DF" w:rsidP="002356D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80BF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1846">
              <w:rPr>
                <w:rFonts w:asciiTheme="minorHAnsi" w:hAnsiTheme="minorHAnsi"/>
                <w:sz w:val="20"/>
                <w:szCs w:val="20"/>
              </w:rPr>
              <w:t>Northern 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land’s overall score on the </w:t>
            </w:r>
            <w:r w:rsidR="00280BF2">
              <w:rPr>
                <w:rFonts w:asciiTheme="minorHAnsi" w:hAnsiTheme="minorHAnsi"/>
                <w:sz w:val="20"/>
                <w:szCs w:val="20"/>
              </w:rPr>
              <w:t>2019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NBI</w:t>
            </w:r>
            <w:r w:rsidRPr="006B1846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59.38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 (scale of 1 to 100), </w:t>
            </w:r>
            <w:r>
              <w:rPr>
                <w:rFonts w:asciiTheme="minorHAnsi" w:hAnsiTheme="minorHAnsi"/>
                <w:sz w:val="20"/>
                <w:szCs w:val="20"/>
              </w:rPr>
              <w:t>an increase of 1.45 points since 2016 (</w:t>
            </w:r>
            <w:r w:rsidRPr="00923FD7">
              <w:rPr>
                <w:rFonts w:asciiTheme="minorHAnsi" w:hAnsiTheme="minorHAnsi"/>
                <w:sz w:val="20"/>
                <w:szCs w:val="20"/>
              </w:rPr>
              <w:t>57.93</w:t>
            </w:r>
            <w:r w:rsidRPr="006B1846">
              <w:rPr>
                <w:rFonts w:asciiTheme="minorHAnsi" w:hAnsiTheme="minorHAnsi"/>
                <w:sz w:val="20"/>
                <w:szCs w:val="20"/>
              </w:rPr>
              <w:t xml:space="preserve">) when it was first included in this survey. </w:t>
            </w:r>
          </w:p>
        </w:tc>
      </w:tr>
      <w:tr w:rsidR="00A85CFB" w:rsidRPr="008F671D" w:rsidTr="00952736">
        <w:trPr>
          <w:trHeight w:val="6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29" w:type="dxa"/>
            <w:gridSpan w:val="2"/>
            <w:vAlign w:val="center"/>
          </w:tcPr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 size (Northern Ireland): 9,587</w:t>
            </w:r>
          </w:p>
          <w:p w:rsidR="00A85CFB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(95%)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977923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7923" w:rsidRPr="008F671D" w:rsidRDefault="00977923" w:rsidP="00FB47D0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o</w:t>
            </w:r>
            <w:r w:rsidRPr="008F671D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UK: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  <w:p w:rsidR="002356DF" w:rsidRPr="00BF40EB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>
              <w:rPr>
                <w:rFonts w:asciiTheme="minorHAnsi" w:hAnsiTheme="minorHAnsi"/>
                <w:sz w:val="20"/>
                <w:szCs w:val="20"/>
              </w:rPr>
              <w:t>No – although Scotland is included in the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E640F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6E640F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>Yes – Northern Ireland’s score is comparable to the 49 other nations who subscribe to the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 given year. This can vary from year to year, depending on which nations subscribe. For example, between the </w:t>
            </w:r>
            <w:bookmarkStart w:id="1" w:name="_GoBack"/>
            <w:r w:rsidR="00280BF2">
              <w:rPr>
                <w:rFonts w:asciiTheme="minorHAnsi" w:hAnsiTheme="minorHAnsi"/>
                <w:sz w:val="20"/>
                <w:szCs w:val="20"/>
              </w:rPr>
              <w:t>2018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280BF2">
              <w:rPr>
                <w:rFonts w:asciiTheme="minorHAnsi" w:hAnsiTheme="minorHAnsi"/>
                <w:sz w:val="20"/>
                <w:szCs w:val="20"/>
              </w:rPr>
              <w:t>2019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surveys, </w:t>
            </w:r>
            <w:r w:rsidR="00280BF2">
              <w:rPr>
                <w:rFonts w:asciiTheme="minorHAnsi" w:hAnsiTheme="minorHAnsi"/>
                <w:sz w:val="20"/>
                <w:szCs w:val="20"/>
              </w:rPr>
              <w:t>Croatia and Jamaica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left the survey, while </w:t>
            </w:r>
            <w:r w:rsidR="00280BF2">
              <w:rPr>
                <w:rFonts w:asciiTheme="minorHAnsi" w:hAnsiTheme="minorHAnsi"/>
                <w:sz w:val="20"/>
                <w:szCs w:val="20"/>
              </w:rPr>
              <w:t>Botswana and Ecuador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were added. </w:t>
            </w:r>
          </w:p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6DF" w:rsidRPr="00081E58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Note: Comparisons with the UK, </w:t>
            </w:r>
            <w:proofErr w:type="spellStart"/>
            <w:r w:rsidRPr="00081E58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nd other countries are only possible if</w:t>
            </w: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se</w:t>
            </w:r>
            <w:r w:rsidRPr="00081E58">
              <w:rPr>
                <w:rFonts w:asciiTheme="minorHAnsi" w:hAnsiTheme="minorHAnsi"/>
                <w:b/>
                <w:sz w:val="20"/>
                <w:szCs w:val="20"/>
              </w:rPr>
              <w:t xml:space="preserve"> other participating nations choose to make their results publically available.</w:t>
            </w:r>
          </w:p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6DF" w:rsidRPr="00CE584A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full list of participating nations for the 2019  NBI</w:t>
            </w:r>
            <w:r w:rsidRPr="00CE584A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is as follows:</w:t>
            </w:r>
          </w:p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6DF" w:rsidRPr="00165C21" w:rsidRDefault="002356DF" w:rsidP="002356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North America: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Canada, the U.S.</w:t>
            </w:r>
          </w:p>
          <w:p w:rsidR="002356DF" w:rsidRPr="00165C21" w:rsidRDefault="002356DF" w:rsidP="002356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Western Europe: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Austria, Belgium, Denmark, Finland, France, Germany, Greece, Holland, Ireland, Italy, Northern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Ireland, Norway, Scotland, Spain, Sweden, Switzerland, the UK</w:t>
            </w:r>
          </w:p>
          <w:p w:rsidR="002356DF" w:rsidRPr="00165C21" w:rsidRDefault="002356DF" w:rsidP="002356D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Central/Eastern Europe: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the Czech Republic, Hungary, Poland, Russia, Turkey, Ukraine</w:t>
            </w:r>
          </w:p>
          <w:p w:rsidR="002356DF" w:rsidRPr="00165C21" w:rsidRDefault="002356DF" w:rsidP="002356D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>Asia-Pacific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: Australia, China, India, Indonesia, Japan, New Zealand, Singapore, South Korea, Taiwan, Thailand</w:t>
            </w:r>
          </w:p>
          <w:p w:rsidR="002356DF" w:rsidRPr="00165C21" w:rsidRDefault="002356DF" w:rsidP="002356D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Latin America: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Argentina,</w:t>
            </w:r>
            <w:r w:rsidRPr="00165C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razil, Chile, Colombia, Ecuador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, Mexico, Peru</w:t>
            </w:r>
          </w:p>
          <w:p w:rsidR="00404AD8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Middle East/Africa: Botswana</w:t>
            </w:r>
            <w:r w:rsidRPr="00165C21">
              <w:rPr>
                <w:rFonts w:asciiTheme="minorHAnsi" w:hAnsiTheme="minorHAnsi"/>
                <w:bCs/>
                <w:sz w:val="20"/>
                <w:szCs w:val="20"/>
              </w:rPr>
              <w:t>, Egypt, Kenya, Nigeria, Qatar, Saudi Arabia, South Africa, United Arab Emirates</w:t>
            </w:r>
          </w:p>
        </w:tc>
      </w:tr>
      <w:tr w:rsidR="002356DF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29" w:type="dxa"/>
            <w:gridSpan w:val="2"/>
            <w:vAlign w:val="center"/>
          </w:tcPr>
          <w:p w:rsidR="002356DF" w:rsidRPr="00434B7F" w:rsidRDefault="002356DF" w:rsidP="002356DF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77E8">
              <w:rPr>
                <w:rFonts w:asciiTheme="minorHAnsi" w:hAnsiTheme="minorHAnsi"/>
                <w:sz w:val="20"/>
                <w:szCs w:val="20"/>
              </w:rPr>
              <w:t xml:space="preserve">Conscious efforts are made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the data supplier, </w:t>
            </w:r>
            <w:r w:rsidRPr="00D777E8">
              <w:rPr>
                <w:rFonts w:asciiTheme="minorHAnsi" w:hAnsiTheme="minorHAnsi"/>
                <w:sz w:val="20"/>
                <w:szCs w:val="20"/>
              </w:rPr>
              <w:t>to keep the NBI</w:t>
            </w:r>
            <w:r w:rsidRPr="00D777E8">
              <w:rPr>
                <w:rFonts w:asciiTheme="minorHAnsi" w:hAnsiTheme="minorHAnsi"/>
                <w:sz w:val="20"/>
                <w:szCs w:val="20"/>
                <w:vertAlign w:val="superscript"/>
              </w:rPr>
              <w:t>SM</w:t>
            </w:r>
            <w:r w:rsidRPr="00D777E8">
              <w:rPr>
                <w:rFonts w:asciiTheme="minorHAnsi" w:hAnsiTheme="minorHAnsi"/>
                <w:sz w:val="20"/>
                <w:szCs w:val="20"/>
              </w:rPr>
              <w:t xml:space="preserve"> methodology comparable to previous years, including questionnaire content, sample design, sampling techniques, fieldwork procedures, and data processing, to facilitate comparisons between years.</w:t>
            </w:r>
            <w:r w:rsidRPr="006A7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356DF" w:rsidRPr="008F671D" w:rsidTr="008F671D">
        <w:trPr>
          <w:trHeight w:val="34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2356DF" w:rsidRPr="00907690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1418" w:type="dxa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356DF" w:rsidRPr="008F671D" w:rsidTr="00FB47D0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2356DF" w:rsidRPr="00907690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418" w:type="dxa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56DF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2356DF" w:rsidRPr="00DC13FC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2356DF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2356DF" w:rsidRPr="00DC13FC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2356D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+/- 1.00 point change on the overall NBI score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A85CFB" w:rsidRDefault="00A85CFB" w:rsidP="00823C0A">
            <w:pPr>
              <w:rPr>
                <w:rFonts w:asciiTheme="minorHAnsi" w:hAnsiTheme="minorHAnsi"/>
                <w:sz w:val="20"/>
              </w:rPr>
            </w:pPr>
          </w:p>
          <w:p w:rsidR="00A85CFB" w:rsidRPr="008F671D" w:rsidRDefault="002356DF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A85CFB" w:rsidRPr="008F671D" w:rsidRDefault="00A85CFB" w:rsidP="00823C0A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2356D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356DF" w:rsidRPr="00345E2E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2356DF" w:rsidRPr="006E640F" w:rsidRDefault="002356DF" w:rsidP="00235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536" w:type="dxa"/>
            <w:vAlign w:val="center"/>
          </w:tcPr>
          <w:p w:rsidR="002356DF" w:rsidRPr="008F671D" w:rsidRDefault="002356DF" w:rsidP="002356DF">
            <w:pPr>
              <w:rPr>
                <w:rFonts w:asciiTheme="minorHAnsi" w:hAnsiTheme="minorHAnsi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4C2627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A85CFB" w:rsidRPr="0006771F" w:rsidRDefault="002356DF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Northern Ireland</w:t>
            </w:r>
          </w:p>
        </w:tc>
      </w:tr>
    </w:tbl>
    <w:bookmarkEnd w:id="0"/>
    <w:p w:rsidR="00357CC1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2356DF" w:rsidRDefault="002356DF" w:rsidP="000200B0">
      <w:pPr>
        <w:rPr>
          <w:rFonts w:asciiTheme="minorHAnsi" w:hAnsiTheme="minorHAnsi"/>
          <w:sz w:val="20"/>
          <w:szCs w:val="20"/>
        </w:rPr>
      </w:pPr>
    </w:p>
    <w:p w:rsidR="002356DF" w:rsidRPr="000E15DF" w:rsidRDefault="002356DF" w:rsidP="002356DF">
      <w:pPr>
        <w:rPr>
          <w:rFonts w:asciiTheme="minorHAnsi" w:hAnsiTheme="minorHAnsi"/>
          <w:sz w:val="20"/>
          <w:szCs w:val="20"/>
        </w:rPr>
      </w:pPr>
      <w:r w:rsidRPr="002356DF">
        <w:rPr>
          <w:rFonts w:asciiTheme="minorHAnsi" w:hAnsiTheme="minorHAnsi"/>
          <w:b/>
          <w:sz w:val="20"/>
          <w:szCs w:val="20"/>
        </w:rPr>
        <w:t>Note</w:t>
      </w:r>
      <w:r>
        <w:rPr>
          <w:rFonts w:asciiTheme="minorHAnsi" w:hAnsiTheme="minorHAnsi"/>
          <w:sz w:val="20"/>
          <w:szCs w:val="20"/>
        </w:rPr>
        <w:t xml:space="preserve">: While disaggregation of the data is possible, it is not applicable here, given where that the respondents are drawn from 20 </w:t>
      </w:r>
      <w:r w:rsidRPr="008372C7">
        <w:rPr>
          <w:rFonts w:asciiTheme="minorHAnsi" w:hAnsiTheme="minorHAnsi"/>
          <w:sz w:val="20"/>
          <w:szCs w:val="20"/>
        </w:rPr>
        <w:t>major developed and developing countries</w:t>
      </w:r>
      <w:r>
        <w:rPr>
          <w:rFonts w:asciiTheme="minorHAnsi" w:hAnsiTheme="minorHAnsi"/>
          <w:sz w:val="20"/>
          <w:szCs w:val="20"/>
        </w:rPr>
        <w:t xml:space="preserve"> (for a full list of countries please see the methodological document: </w:t>
      </w:r>
      <w:hyperlink r:id="rId10" w:history="1">
        <w:r w:rsidRPr="001826B5">
          <w:rPr>
            <w:rStyle w:val="Hyperlink"/>
            <w:rFonts w:asciiTheme="minorHAnsi" w:hAnsiTheme="minorHAnsi"/>
            <w:sz w:val="20"/>
            <w:szCs w:val="20"/>
          </w:rPr>
          <w:t>https://www.executiveoffice-ni.gov.uk/publications/nation-brands-index-2019-report-northern-ireland</w:t>
        </w:r>
      </w:hyperlink>
      <w:r>
        <w:rPr>
          <w:rFonts w:asciiTheme="minorHAnsi" w:hAnsiTheme="minorHAnsi"/>
          <w:sz w:val="20"/>
          <w:szCs w:val="20"/>
        </w:rPr>
        <w:t>).</w:t>
      </w:r>
    </w:p>
    <w:p w:rsidR="002356DF" w:rsidRPr="00A85CFB" w:rsidRDefault="002356DF" w:rsidP="000200B0">
      <w:pPr>
        <w:rPr>
          <w:rFonts w:asciiTheme="minorHAnsi" w:hAnsiTheme="minorHAnsi"/>
          <w:sz w:val="20"/>
          <w:szCs w:val="20"/>
        </w:rPr>
      </w:pPr>
    </w:p>
    <w:sectPr w:rsidR="002356DF" w:rsidRPr="00A85CFB" w:rsidSect="008F671D">
      <w:headerReference w:type="default" r:id="rId11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52" w:rsidRDefault="00503E52" w:rsidP="008F671D">
      <w:r>
        <w:separator/>
      </w:r>
    </w:p>
  </w:endnote>
  <w:endnote w:type="continuationSeparator" w:id="0">
    <w:p w:rsidR="00503E52" w:rsidRDefault="00503E52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52" w:rsidRDefault="00503E52" w:rsidP="008F671D">
      <w:r>
        <w:separator/>
      </w:r>
    </w:p>
  </w:footnote>
  <w:footnote w:type="continuationSeparator" w:id="0">
    <w:p w:rsidR="00503E52" w:rsidRDefault="00503E52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F141E"/>
    <w:rsid w:val="002275CC"/>
    <w:rsid w:val="002356DF"/>
    <w:rsid w:val="00235BC7"/>
    <w:rsid w:val="00254DA2"/>
    <w:rsid w:val="00280BF2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6FDF"/>
    <w:rsid w:val="003F0FF6"/>
    <w:rsid w:val="003F1D3A"/>
    <w:rsid w:val="003F74DA"/>
    <w:rsid w:val="00404AD8"/>
    <w:rsid w:val="00423C1B"/>
    <w:rsid w:val="00465B3F"/>
    <w:rsid w:val="00490179"/>
    <w:rsid w:val="0049269F"/>
    <w:rsid w:val="004A24D7"/>
    <w:rsid w:val="004D6771"/>
    <w:rsid w:val="00503E52"/>
    <w:rsid w:val="00535359"/>
    <w:rsid w:val="00542BC4"/>
    <w:rsid w:val="005A4695"/>
    <w:rsid w:val="005B441A"/>
    <w:rsid w:val="005B69FE"/>
    <w:rsid w:val="005C79AD"/>
    <w:rsid w:val="005E386D"/>
    <w:rsid w:val="005F603B"/>
    <w:rsid w:val="00611CCE"/>
    <w:rsid w:val="006B0988"/>
    <w:rsid w:val="006D6E49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373F2"/>
    <w:rsid w:val="0094608E"/>
    <w:rsid w:val="00952736"/>
    <w:rsid w:val="009744B1"/>
    <w:rsid w:val="00977923"/>
    <w:rsid w:val="00980EC4"/>
    <w:rsid w:val="009C1900"/>
    <w:rsid w:val="009C41FB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B2A18"/>
    <w:rsid w:val="00E14E8E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office-ni.gov.uk/publications/nation-brands-index-2019-report-northern-irela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xecutiveoffice-ni.gov.uk/publications/nation-brands-index-2019-report-northern-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ecutiveoffice-ni.gov.uk/publications/nation-brands-index-2019-report-norther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6361-03AD-471C-9B7B-E36A384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PfG Analytics</cp:lastModifiedBy>
  <cp:revision>8</cp:revision>
  <cp:lastPrinted>2016-04-11T13:16:00Z</cp:lastPrinted>
  <dcterms:created xsi:type="dcterms:W3CDTF">2019-06-10T10:07:00Z</dcterms:created>
  <dcterms:modified xsi:type="dcterms:W3CDTF">2020-02-25T17:19:00Z</dcterms:modified>
</cp:coreProperties>
</file>