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2802"/>
        <w:gridCol w:w="7801"/>
      </w:tblGrid>
      <w:tr w:rsidR="00E65929" w:rsidRPr="00E65929" w:rsidTr="00224E60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E65929" w:rsidRPr="00E65929" w:rsidRDefault="00E65929" w:rsidP="00B934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E65929">
              <w:rPr>
                <w:rFonts w:asciiTheme="minorHAnsi" w:hAnsiTheme="minorHAnsi"/>
                <w:b/>
                <w:sz w:val="20"/>
                <w:szCs w:val="20"/>
              </w:rPr>
              <w:t>Indicator:</w:t>
            </w:r>
            <w:r w:rsidR="000F3B3F" w:rsidRPr="001D55D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37</w:t>
            </w:r>
          </w:p>
        </w:tc>
        <w:tc>
          <w:tcPr>
            <w:tcW w:w="7801" w:type="dxa"/>
            <w:vAlign w:val="center"/>
          </w:tcPr>
          <w:p w:rsidR="00E65929" w:rsidRPr="004B4757" w:rsidRDefault="00B93485" w:rsidP="00E659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93485">
              <w:rPr>
                <w:rFonts w:asciiTheme="minorHAnsi" w:hAnsiTheme="minorHAnsi" w:cs="Arial"/>
                <w:b/>
                <w:sz w:val="20"/>
                <w:szCs w:val="20"/>
              </w:rPr>
              <w:t>Annual mean nitrogen dioxide concentration at monitored urban roadside locations</w:t>
            </w:r>
          </w:p>
        </w:tc>
      </w:tr>
    </w:tbl>
    <w:p w:rsidR="00FB47D0" w:rsidRPr="00E65929" w:rsidRDefault="00FB47D0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1991"/>
        <w:gridCol w:w="8852"/>
      </w:tblGrid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801" w:type="dxa"/>
            <w:vAlign w:val="center"/>
          </w:tcPr>
          <w:p w:rsidR="00675907" w:rsidRPr="00E65929" w:rsidRDefault="007345C0" w:rsidP="00E659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Maire Brolly</w:t>
            </w:r>
            <w:r w:rsidR="00675907">
              <w:rPr>
                <w:rFonts w:asciiTheme="minorHAnsi" w:hAnsiTheme="minorHAnsi"/>
                <w:sz w:val="20"/>
                <w:szCs w:val="20"/>
              </w:rPr>
              <w:t>, Department of Agriculture, Environment and Rural Affairs</w:t>
            </w:r>
          </w:p>
        </w:tc>
      </w:tr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801" w:type="dxa"/>
            <w:vAlign w:val="center"/>
          </w:tcPr>
          <w:p w:rsidR="00675907" w:rsidRPr="00E65929" w:rsidRDefault="005854DC" w:rsidP="00E65929">
            <w:pPr>
              <w:rPr>
                <w:rFonts w:asciiTheme="minorHAnsi" w:hAnsiTheme="minorHAnsi"/>
                <w:color w:val="1F497D"/>
                <w:sz w:val="20"/>
                <w:szCs w:val="20"/>
              </w:rPr>
            </w:pPr>
            <w:hyperlink r:id="rId8" w:history="1">
              <w:r w:rsidR="00C3447C" w:rsidRPr="00C178B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https://www.daera-ni.gov.uk/articles/northern-ireland-environmental-statistics-report</w:t>
              </w:r>
            </w:hyperlink>
            <w:r w:rsidR="00C3447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801" w:type="dxa"/>
            <w:vAlign w:val="center"/>
          </w:tcPr>
          <w:p w:rsidR="0080535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Annually in the NI Environmental Statistics 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358F" w:rsidRDefault="005C358F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5907" w:rsidRPr="00E65929" w:rsidRDefault="00805359" w:rsidP="00E659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Note that prior to the 2017 Environmental Statistics Report, a different method and different number of sites were used to calculate the NI average therefore data in previous reports will not be consistent with the figures</w:t>
            </w:r>
            <w:r w:rsidR="005C358F">
              <w:rPr>
                <w:rFonts w:asciiTheme="minorHAnsi" w:hAnsiTheme="minorHAnsi"/>
                <w:sz w:val="20"/>
                <w:szCs w:val="20"/>
              </w:rPr>
              <w:t xml:space="preserve"> using </w:t>
            </w:r>
            <w:proofErr w:type="spellStart"/>
            <w:r w:rsidR="005C358F">
              <w:rPr>
                <w:rFonts w:asciiTheme="minorHAnsi" w:hAnsiTheme="minorHAnsi"/>
                <w:sz w:val="20"/>
                <w:szCs w:val="20"/>
              </w:rPr>
              <w:t>PfG</w:t>
            </w:r>
            <w:proofErr w:type="spellEnd"/>
            <w:r w:rsidR="005C358F">
              <w:rPr>
                <w:rFonts w:asciiTheme="minorHAnsi" w:hAnsiTheme="minorHAnsi"/>
                <w:sz w:val="20"/>
                <w:szCs w:val="20"/>
              </w:rPr>
              <w:t xml:space="preserve"> methodology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presented below.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34F2E" w:rsidRDefault="00675907" w:rsidP="00E65929">
            <w:pPr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</w:pP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 xml:space="preserve">Data from monitoring sites (shown on a map) are available immediately (or as soon as possible) 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 xml:space="preserve">at </w:t>
            </w:r>
            <w:hyperlink r:id="rId9" w:history="1">
              <w:r w:rsidRPr="00E65929">
                <w:rPr>
                  <w:rStyle w:val="Hyperlink"/>
                  <w:rFonts w:asciiTheme="minorHAnsi" w:eastAsiaTheme="minorHAnsi" w:hAnsiTheme="minorHAnsi" w:cs="ArialMT"/>
                  <w:sz w:val="20"/>
                  <w:szCs w:val="20"/>
                </w:rPr>
                <w:t>www.airqualityni.co.uk</w:t>
              </w:r>
            </w:hyperlink>
            <w:r w:rsidRPr="00E65929">
              <w:rPr>
                <w:rFonts w:asciiTheme="minorHAnsi" w:eastAsiaTheme="minorHAnsi" w:hAnsiTheme="minorHAnsi" w:cs="ArialMT"/>
                <w:color w:val="0000FF"/>
                <w:sz w:val="20"/>
                <w:szCs w:val="20"/>
              </w:rPr>
              <w:t xml:space="preserve"> </w:t>
            </w:r>
          </w:p>
        </w:tc>
      </w:tr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801" w:type="dxa"/>
            <w:vAlign w:val="center"/>
          </w:tcPr>
          <w:p w:rsidR="00675907" w:rsidRPr="00E65929" w:rsidRDefault="000F3B3F" w:rsidP="000F3B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months</w:t>
            </w:r>
            <w:r w:rsidR="005C358F">
              <w:rPr>
                <w:rFonts w:asciiTheme="minorHAnsi" w:hAnsiTheme="minorHAnsi"/>
                <w:sz w:val="20"/>
                <w:szCs w:val="20"/>
              </w:rPr>
              <w:t xml:space="preserve"> for annual results in ESR</w:t>
            </w:r>
          </w:p>
        </w:tc>
      </w:tr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801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Administrative</w:t>
            </w:r>
          </w:p>
        </w:tc>
      </w:tr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801" w:type="dxa"/>
            <w:vAlign w:val="center"/>
          </w:tcPr>
          <w:p w:rsidR="00675907" w:rsidRPr="00E65929" w:rsidRDefault="00A335DC" w:rsidP="00A335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Official Statistics</w:t>
            </w:r>
          </w:p>
        </w:tc>
      </w:tr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801" w:type="dxa"/>
            <w:vAlign w:val="center"/>
          </w:tcPr>
          <w:p w:rsidR="00675907" w:rsidRPr="00E65929" w:rsidRDefault="005854DC" w:rsidP="00C3447C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0F3B3F" w:rsidRPr="004B4D3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https://www.daera-ni.gov.uk/sites/default/files/publications/daera/ni-environmental-statistics-user-information-2020.pdf</w:t>
              </w:r>
            </w:hyperlink>
            <w:r w:rsidR="000F3B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75907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801" w:type="dxa"/>
            <w:vAlign w:val="center"/>
          </w:tcPr>
          <w:p w:rsidR="00675907" w:rsidRPr="00E65929" w:rsidRDefault="00682BA1" w:rsidP="00934F2E">
            <w:pPr>
              <w:ind w:left="-11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3C2FD3">
              <w:rPr>
                <w:rFonts w:asciiTheme="minorHAnsi" w:hAnsiTheme="minorHAnsi"/>
                <w:sz w:val="20"/>
                <w:szCs w:val="20"/>
              </w:rPr>
              <w:t>2011</w:t>
            </w:r>
          </w:p>
        </w:tc>
      </w:tr>
      <w:tr w:rsidR="00675907" w:rsidRPr="00E65929" w:rsidTr="00DE1E9C">
        <w:trPr>
          <w:trHeight w:val="3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ime-series trend: </w:t>
            </w:r>
          </w:p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01" w:type="dxa"/>
            <w:vAlign w:val="center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59"/>
              <w:gridCol w:w="919"/>
              <w:gridCol w:w="919"/>
              <w:gridCol w:w="919"/>
              <w:gridCol w:w="920"/>
            </w:tblGrid>
            <w:tr w:rsidR="00DE1E9C" w:rsidRPr="00DE1E9C" w:rsidTr="00C33CE5">
              <w:trPr>
                <w:trHeight w:val="2615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420" w:type="dxa"/>
                    <w:tblLook w:val="04A0" w:firstRow="1" w:lastRow="0" w:firstColumn="1" w:lastColumn="0" w:noHBand="0" w:noVBand="1"/>
                  </w:tblPr>
                  <w:tblGrid>
                    <w:gridCol w:w="1475"/>
                    <w:gridCol w:w="661"/>
                    <w:gridCol w:w="304"/>
                    <w:gridCol w:w="357"/>
                    <w:gridCol w:w="519"/>
                    <w:gridCol w:w="143"/>
                    <w:gridCol w:w="661"/>
                    <w:gridCol w:w="150"/>
                    <w:gridCol w:w="511"/>
                    <w:gridCol w:w="376"/>
                    <w:gridCol w:w="286"/>
                    <w:gridCol w:w="293"/>
                    <w:gridCol w:w="409"/>
                    <w:gridCol w:w="237"/>
                    <w:gridCol w:w="464"/>
                    <w:gridCol w:w="661"/>
                    <w:gridCol w:w="207"/>
                    <w:gridCol w:w="234"/>
                    <w:gridCol w:w="472"/>
                  </w:tblGrid>
                  <w:tr w:rsidR="000F3B3F" w:rsidRPr="00DE1E9C" w:rsidTr="000F3B3F">
                    <w:trPr>
                      <w:trHeight w:val="194"/>
                    </w:trPr>
                    <w:tc>
                      <w:tcPr>
                        <w:tcW w:w="5157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82BA1" w:rsidRPr="00DE1E9C" w:rsidRDefault="000F3B3F" w:rsidP="00DE1E9C">
                        <w:pPr>
                          <w:rPr>
                            <w:rFonts w:ascii="Calibri" w:hAnsi="Calibri"/>
                            <w:lang w:eastAsia="en-GB"/>
                          </w:rPr>
                        </w:pPr>
                        <w:r w:rsidRPr="00DE1E9C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 xml:space="preserve">Annual </w:t>
                        </w:r>
                        <w:r w:rsidR="00682BA1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>mean</w:t>
                        </w:r>
                        <w:r w:rsidRPr="00DE1E9C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 xml:space="preserve"> concentration of </w:t>
                        </w:r>
                        <w:r w:rsidR="00682BA1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 xml:space="preserve">nitrogen dioxide </w:t>
                        </w:r>
                        <w:r w:rsidRPr="00DE1E9C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>(NO₂)</w:t>
                        </w:r>
                        <w:r w:rsidR="00682BA1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 xml:space="preserve">, 2011-2019, </w:t>
                        </w:r>
                        <w:r w:rsidRPr="00DE1E9C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 xml:space="preserve"> for 10 urban roadside sites in NI</w:t>
                        </w:r>
                      </w:p>
                    </w:tc>
                    <w:tc>
                      <w:tcPr>
                        <w:tcW w:w="5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lang w:eastAsia="en-GB"/>
                          </w:rPr>
                        </w:pPr>
                      </w:p>
                    </w:tc>
                  </w:tr>
                  <w:tr w:rsidR="000F3B3F" w:rsidRPr="00DE1E9C" w:rsidTr="000F3B3F">
                    <w:trPr>
                      <w:trHeight w:val="194"/>
                    </w:trPr>
                    <w:tc>
                      <w:tcPr>
                        <w:tcW w:w="1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5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5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F3B3F" w:rsidRPr="00DE1E9C" w:rsidRDefault="000F3B3F" w:rsidP="00DE1E9C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</w:p>
                    </w:tc>
                  </w:tr>
                  <w:tr w:rsidR="000F3B3F" w:rsidRPr="00DE1E9C" w:rsidTr="000F3B3F">
                    <w:trPr>
                      <w:gridAfter w:val="3"/>
                      <w:wAfter w:w="993" w:type="dxa"/>
                      <w:trHeight w:val="194"/>
                    </w:trPr>
                    <w:tc>
                      <w:tcPr>
                        <w:tcW w:w="1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Pr="00DE1E9C" w:rsidRDefault="000F3B3F" w:rsidP="000F3B3F">
                        <w:pPr>
                          <w:rPr>
                            <w:rFonts w:ascii="Calibri" w:hAnsi="Calibri"/>
                            <w:color w:val="000000"/>
                            <w:lang w:eastAsia="en-GB"/>
                          </w:rPr>
                        </w:pPr>
                        <w:r w:rsidRPr="00DE1E9C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2011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2012</w:t>
                        </w: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2013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</w:tr>
                  <w:tr w:rsidR="000F3B3F" w:rsidRPr="00DE1E9C" w:rsidTr="00C33CE5">
                    <w:trPr>
                      <w:gridAfter w:val="3"/>
                      <w:wAfter w:w="993" w:type="dxa"/>
                      <w:trHeight w:val="1066"/>
                    </w:trPr>
                    <w:tc>
                      <w:tcPr>
                        <w:tcW w:w="147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</w:pPr>
                        <w:r w:rsidRPr="00DE1E9C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>10 urban roadside</w:t>
                        </w:r>
                      </w:p>
                      <w:p w:rsidR="000F3B3F" w:rsidRPr="00DE1E9C" w:rsidRDefault="00682BA1" w:rsidP="00682BA1">
                        <w:pPr>
                          <w:rPr>
                            <w:rFonts w:ascii="Calibri" w:hAnsi="Calibri"/>
                            <w:lang w:eastAsia="en-GB"/>
                          </w:rPr>
                        </w:pPr>
                        <w:r w:rsidRPr="00DE1E9C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>S</w:t>
                        </w:r>
                        <w:r w:rsidR="000F3B3F" w:rsidRPr="00DE1E9C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>ites</w:t>
                        </w:r>
                        <w:r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 xml:space="preserve"> mean</w:t>
                        </w:r>
                        <w:r w:rsidR="005D6FA3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 xml:space="preserve"> </w:t>
                        </w:r>
                        <w:r w:rsidR="005D6FA3" w:rsidRPr="005D6FA3">
                          <w:rPr>
                            <w:rFonts w:ascii="Calibri" w:hAnsi="Calibri"/>
                            <w:sz w:val="22"/>
                            <w:szCs w:val="22"/>
                            <w:lang w:eastAsia="en-GB"/>
                          </w:rPr>
                          <w:t>µg/m3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37.7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38.7</w:t>
                        </w: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36.7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35.6</w:t>
                        </w:r>
                      </w:p>
                    </w:tc>
                    <w:tc>
                      <w:tcPr>
                        <w:tcW w:w="661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33.1</w:t>
                        </w:r>
                      </w:p>
                    </w:tc>
                    <w:tc>
                      <w:tcPr>
                        <w:tcW w:w="6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35.5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33.4</w:t>
                        </w:r>
                      </w:p>
                    </w:tc>
                    <w:tc>
                      <w:tcPr>
                        <w:tcW w:w="70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33.5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0F3B3F" w:rsidRDefault="000F3B3F" w:rsidP="000F3B3F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31.4</w:t>
                        </w:r>
                      </w:p>
                    </w:tc>
                  </w:tr>
                </w:tbl>
                <w:p w:rsidR="00DE1E9C" w:rsidRPr="00DE1E9C" w:rsidRDefault="00DE1E9C" w:rsidP="00DE1E9C">
                  <w:pPr>
                    <w:rPr>
                      <w:rFonts w:ascii="Calibri" w:hAnsi="Calibri"/>
                      <w:lang w:eastAsia="en-GB"/>
                    </w:rPr>
                  </w:pPr>
                </w:p>
              </w:tc>
            </w:tr>
            <w:tr w:rsidR="00DE1E9C" w:rsidRPr="00DE1E9C" w:rsidTr="00C33CE5">
              <w:trPr>
                <w:trHeight w:val="201"/>
              </w:trPr>
              <w:tc>
                <w:tcPr>
                  <w:tcW w:w="28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1E9C" w:rsidRPr="00DE1E9C" w:rsidRDefault="00DE1E9C" w:rsidP="00DE1E9C">
                  <w:pPr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1E9C" w:rsidRPr="00DE1E9C" w:rsidRDefault="00DE1E9C" w:rsidP="00DE1E9C">
                  <w:pPr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1E9C" w:rsidRPr="00DE1E9C" w:rsidRDefault="00DE1E9C" w:rsidP="00DE1E9C">
                  <w:pPr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</w:tr>
            <w:tr w:rsidR="00DE1E9C" w:rsidRPr="00DE1E9C" w:rsidTr="00C33CE5">
              <w:trPr>
                <w:trHeight w:val="201"/>
              </w:trPr>
              <w:tc>
                <w:tcPr>
                  <w:tcW w:w="28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1E9C" w:rsidRPr="00DE1E9C" w:rsidRDefault="00DE1E9C" w:rsidP="00DE1E9C">
                  <w:pPr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</w:tr>
            <w:tr w:rsidR="00DE1E9C" w:rsidRPr="00DE1E9C" w:rsidTr="00DE1E9C">
              <w:trPr>
                <w:trHeight w:val="201"/>
              </w:trPr>
              <w:tc>
                <w:tcPr>
                  <w:tcW w:w="28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1E9C" w:rsidRPr="00DE1E9C" w:rsidRDefault="00DE1E9C" w:rsidP="00DE1E9C">
                  <w:pPr>
                    <w:jc w:val="right"/>
                    <w:rPr>
                      <w:rFonts w:ascii="Calibri" w:hAnsi="Calibri"/>
                      <w:color w:val="000000"/>
                      <w:lang w:eastAsia="en-GB"/>
                    </w:rPr>
                  </w:pPr>
                </w:p>
              </w:tc>
            </w:tr>
          </w:tbl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DE1E9C">
        <w:trPr>
          <w:trHeight w:val="68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801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Sample size: N/A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Confidence interval: N/A</w:t>
            </w:r>
          </w:p>
        </w:tc>
      </w:tr>
      <w:tr w:rsidR="00675907" w:rsidRPr="00E65929" w:rsidTr="00DE1E9C">
        <w:trPr>
          <w:trHeight w:val="212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UK/</w:t>
            </w:r>
            <w:proofErr w:type="spellStart"/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/International c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omparisons:</w:t>
            </w:r>
          </w:p>
        </w:tc>
        <w:tc>
          <w:tcPr>
            <w:tcW w:w="7801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UK: Yes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UK Regional: Yes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5929">
              <w:rPr>
                <w:rFonts w:asciiTheme="minorHAnsi" w:hAnsiTheme="minorHAnsi"/>
                <w:sz w:val="20"/>
                <w:szCs w:val="20"/>
              </w:rPr>
              <w:t>RoI</w:t>
            </w:r>
            <w:proofErr w:type="spellEnd"/>
            <w:r w:rsidRPr="00E65929">
              <w:rPr>
                <w:rFonts w:asciiTheme="minorHAnsi" w:hAnsiTheme="minorHAnsi"/>
                <w:sz w:val="20"/>
                <w:szCs w:val="20"/>
              </w:rPr>
              <w:t>: Yes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International (please specify countries): Yes, with Europe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5907" w:rsidRPr="00E65929" w:rsidRDefault="00675907" w:rsidP="00E6592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</w:pP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>Data are fully compatible with UK and EU reporting and monitoring standards (</w:t>
            </w:r>
            <w:hyperlink r:id="rId11" w:history="1">
              <w:r w:rsidRPr="00E65929">
                <w:rPr>
                  <w:rStyle w:val="Hyperlink"/>
                  <w:rFonts w:asciiTheme="minorHAnsi" w:eastAsiaTheme="minorHAnsi" w:hAnsiTheme="minorHAnsi" w:cs="ArialMT"/>
                  <w:sz w:val="20"/>
                  <w:szCs w:val="20"/>
                </w:rPr>
                <w:t>http://uk-air.defra.gov.uk/</w:t>
              </w:r>
            </w:hyperlink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>).</w:t>
            </w:r>
          </w:p>
          <w:p w:rsidR="00675907" w:rsidRPr="00E65929" w:rsidRDefault="00675907" w:rsidP="00E6592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 xml:space="preserve">Please also see </w:t>
            </w:r>
            <w:hyperlink r:id="rId12" w:history="1">
              <w:r w:rsidRPr="00E65929">
                <w:rPr>
                  <w:rStyle w:val="Hyperlink"/>
                  <w:rFonts w:asciiTheme="minorHAnsi" w:eastAsiaTheme="minorHAnsi" w:hAnsiTheme="minorHAnsi" w:cs="ArialMT"/>
                  <w:sz w:val="20"/>
                  <w:szCs w:val="20"/>
                </w:rPr>
                <w:t>http://uk-air.defra.gov.uk/air-pollution/uk-eu-limits</w:t>
              </w:r>
            </w:hyperlink>
            <w:r w:rsidRPr="00E65929">
              <w:rPr>
                <w:rFonts w:asciiTheme="minorHAnsi" w:eastAsiaTheme="minorHAnsi" w:hAnsiTheme="minorHAnsi" w:cs="ArialMT"/>
                <w:color w:val="0000FF"/>
                <w:sz w:val="20"/>
                <w:szCs w:val="20"/>
              </w:rPr>
              <w:t xml:space="preserve"> </w:t>
            </w: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>for air quality information on standards, objectives, target values and limit values.</w:t>
            </w:r>
            <w:r w:rsidRPr="00E6592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75907" w:rsidRPr="00E65929" w:rsidTr="00DE1E9C">
        <w:trPr>
          <w:trHeight w:val="141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ssues in relation to this data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e.g. 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limitations, future data avail</w:t>
            </w:r>
            <w:r w:rsidR="00286FF8">
              <w:rPr>
                <w:rFonts w:asciiTheme="minorHAnsi" w:hAnsiTheme="minorHAnsi"/>
                <w:b/>
                <w:sz w:val="20"/>
                <w:szCs w:val="20"/>
              </w:rPr>
              <w:t>ability, changes to methodology</w:t>
            </w:r>
          </w:p>
        </w:tc>
        <w:tc>
          <w:tcPr>
            <w:tcW w:w="7801" w:type="dxa"/>
            <w:vAlign w:val="center"/>
          </w:tcPr>
          <w:p w:rsidR="00675907" w:rsidRPr="00E65929" w:rsidRDefault="00675907" w:rsidP="00E6592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Data availability: Data is released annually in the NI Environmental Statistics Report. The ne</w:t>
            </w:r>
            <w:r w:rsidR="00682BA1">
              <w:rPr>
                <w:rFonts w:asciiTheme="minorHAnsi" w:hAnsiTheme="minorHAnsi"/>
                <w:sz w:val="20"/>
                <w:szCs w:val="20"/>
              </w:rPr>
              <w:t>xt annual publication is due May</w:t>
            </w:r>
            <w:r w:rsidR="009E19FD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682BA1">
              <w:rPr>
                <w:rFonts w:asciiTheme="minorHAnsi" w:hAnsiTheme="minorHAnsi"/>
                <w:sz w:val="20"/>
                <w:szCs w:val="20"/>
              </w:rPr>
              <w:t>1</w:t>
            </w:r>
            <w:r w:rsidRPr="00E65929">
              <w:rPr>
                <w:rFonts w:asciiTheme="minorHAnsi" w:hAnsiTheme="minorHAnsi"/>
                <w:sz w:val="20"/>
                <w:szCs w:val="20"/>
              </w:rPr>
              <w:t xml:space="preserve">.  </w:t>
            </w: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 xml:space="preserve">Data from monitoring sites (shown on a map) are available immediately (or as soon as possible) at </w:t>
            </w:r>
            <w:hyperlink r:id="rId13" w:history="1">
              <w:r w:rsidRPr="00E65929">
                <w:rPr>
                  <w:rStyle w:val="Hyperlink"/>
                  <w:rFonts w:asciiTheme="minorHAnsi" w:eastAsiaTheme="minorHAnsi" w:hAnsiTheme="minorHAnsi" w:cs="ArialMT"/>
                  <w:sz w:val="20"/>
                  <w:szCs w:val="20"/>
                </w:rPr>
                <w:t>www.airqualityni.co.uk</w:t>
              </w:r>
            </w:hyperlink>
            <w:r w:rsidRPr="00E65929">
              <w:rPr>
                <w:rFonts w:asciiTheme="minorHAnsi" w:eastAsiaTheme="minorHAnsi" w:hAnsiTheme="minorHAnsi" w:cs="ArialMT"/>
                <w:color w:val="0000FF"/>
                <w:sz w:val="20"/>
                <w:szCs w:val="20"/>
              </w:rPr>
              <w:t xml:space="preserve"> </w:t>
            </w:r>
          </w:p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75907" w:rsidRPr="00E65929" w:rsidRDefault="00675907" w:rsidP="00DE1E9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 xml:space="preserve">Data Limitations: </w:t>
            </w: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t xml:space="preserve">The data presented for each air pollutant is generally an average of values for selected air pollution monitors (monitors are selected by type – e.g. ‘roadside’ or ‘urban’). These averages are useful for indicating trends across specific types of sites in the NI monitoring network; however, they can </w:t>
            </w:r>
            <w:r w:rsidRPr="00E65929">
              <w:rPr>
                <w:rFonts w:asciiTheme="minorHAnsi" w:eastAsiaTheme="minorHAnsi" w:hAnsiTheme="minorHAnsi" w:cs="ArialMT"/>
                <w:color w:val="000000"/>
                <w:sz w:val="20"/>
                <w:szCs w:val="20"/>
              </w:rPr>
              <w:lastRenderedPageBreak/>
              <w:t>mask problems / exceedences at individual sites. Although the average value for a pollutant may be below an EU threshold, this does not mean that no sites in NI are experiencing exceedences</w:t>
            </w:r>
            <w:r w:rsidRPr="00E65929">
              <w:rPr>
                <w:rFonts w:asciiTheme="minorHAnsi" w:eastAsiaTheme="minorHAnsi" w:hAnsiTheme="minorHAnsi" w:cs="Arial-ItalicMT"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977923" w:rsidRPr="00E65929" w:rsidTr="00DE1E9C">
        <w:trPr>
          <w:trHeight w:val="34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77923" w:rsidRPr="00E65929" w:rsidRDefault="00A535C2" w:rsidP="00E659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592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Is this measure being used to monitor performance against your current/latest Departmental/ Agency Plan</w:t>
            </w:r>
          </w:p>
        </w:tc>
        <w:tc>
          <w:tcPr>
            <w:tcW w:w="7801" w:type="dxa"/>
            <w:vAlign w:val="center"/>
          </w:tcPr>
          <w:p w:rsidR="00E62A67" w:rsidRPr="00682BA1" w:rsidRDefault="006C5D05" w:rsidP="00682BA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sz w:val="20"/>
                <w:szCs w:val="20"/>
              </w:rPr>
            </w:pPr>
            <w:r w:rsidRPr="00E65929">
              <w:rPr>
                <w:rFonts w:asciiTheme="minorHAnsi" w:eastAsiaTheme="minorHAnsi" w:hAnsiTheme="minorHAnsi" w:cs="ArialMT"/>
                <w:sz w:val="20"/>
                <w:szCs w:val="20"/>
              </w:rPr>
              <w:t>The data are collected for the purpose of monitoring air quality; to assess levels of pollutants which are contained in the UK Air Quality Strategy and the EU Air Quality</w:t>
            </w:r>
            <w:r w:rsidR="00682BA1">
              <w:rPr>
                <w:rFonts w:asciiTheme="minorHAnsi" w:eastAsiaTheme="minorHAnsi" w:hAnsiTheme="minorHAnsi" w:cs="ArialMT"/>
                <w:sz w:val="20"/>
                <w:szCs w:val="20"/>
              </w:rPr>
              <w:t xml:space="preserve"> </w:t>
            </w:r>
            <w:r w:rsidRPr="00E65929">
              <w:rPr>
                <w:rFonts w:asciiTheme="minorHAnsi" w:eastAsiaTheme="minorHAnsi" w:hAnsiTheme="minorHAnsi" w:cs="ArialMT"/>
                <w:sz w:val="20"/>
                <w:szCs w:val="20"/>
              </w:rPr>
              <w:t>Directives.</w:t>
            </w:r>
          </w:p>
        </w:tc>
      </w:tr>
      <w:tr w:rsidR="001668A0" w:rsidRPr="00E65929" w:rsidTr="00DE1E9C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668A0" w:rsidRPr="00E65929" w:rsidRDefault="00806A6E" w:rsidP="00E659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5929">
              <w:rPr>
                <w:rFonts w:asciiTheme="minorHAnsi" w:hAnsiTheme="minorHAnsi"/>
                <w:b/>
                <w:sz w:val="20"/>
                <w:szCs w:val="20"/>
              </w:rPr>
              <w:t>If yes, p</w:t>
            </w:r>
            <w:r w:rsidR="001668A0" w:rsidRPr="00E65929">
              <w:rPr>
                <w:rFonts w:asciiTheme="minorHAnsi" w:hAnsiTheme="minorHAnsi"/>
                <w:b/>
                <w:sz w:val="20"/>
                <w:szCs w:val="20"/>
              </w:rPr>
              <w:t>lease specify any particular baseline point/year for the measure which is being for performance monitoring purposes</w:t>
            </w:r>
          </w:p>
        </w:tc>
        <w:tc>
          <w:tcPr>
            <w:tcW w:w="7801" w:type="dxa"/>
            <w:vAlign w:val="center"/>
          </w:tcPr>
          <w:p w:rsidR="001668A0" w:rsidRPr="00E65929" w:rsidRDefault="003D6B98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</w:tbl>
    <w:p w:rsidR="00BD4124" w:rsidRDefault="00BD4124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7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755"/>
      </w:tblGrid>
      <w:tr w:rsidR="001D55D2" w:rsidRPr="00DC13FC" w:rsidTr="00974EC9">
        <w:tc>
          <w:tcPr>
            <w:tcW w:w="1985" w:type="dxa"/>
            <w:shd w:val="clear" w:color="auto" w:fill="D9D9D9" w:themeFill="background1" w:themeFillShade="D9"/>
          </w:tcPr>
          <w:p w:rsidR="001D55D2" w:rsidRPr="00DC13FC" w:rsidRDefault="001D55D2" w:rsidP="00974E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Technical Assessment Panel</w:t>
            </w:r>
          </w:p>
        </w:tc>
        <w:tc>
          <w:tcPr>
            <w:tcW w:w="8755" w:type="dxa"/>
          </w:tcPr>
          <w:p w:rsidR="001D55D2" w:rsidRPr="00DC13FC" w:rsidRDefault="001D55D2" w:rsidP="00974EC9">
            <w:pPr>
              <w:rPr>
                <w:rFonts w:asciiTheme="minorHAnsi" w:hAnsiTheme="minorHAnsi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D55D2" w:rsidRPr="00DC13FC" w:rsidTr="00974EC9">
        <w:tc>
          <w:tcPr>
            <w:tcW w:w="1985" w:type="dxa"/>
            <w:shd w:val="clear" w:color="auto" w:fill="D9D9D9" w:themeFill="background1" w:themeFillShade="D9"/>
          </w:tcPr>
          <w:p w:rsidR="001D55D2" w:rsidRPr="00DC13FC" w:rsidRDefault="001D55D2" w:rsidP="00974E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8755" w:type="dxa"/>
          </w:tcPr>
          <w:p w:rsidR="001D55D2" w:rsidRPr="00DC13FC" w:rsidRDefault="001D55D2" w:rsidP="00974EC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2014</w:t>
            </w:r>
          </w:p>
        </w:tc>
      </w:tr>
      <w:tr w:rsidR="001D55D2" w:rsidRPr="00DC13FC" w:rsidTr="00974EC9">
        <w:trPr>
          <w:trHeight w:val="496"/>
        </w:trPr>
        <w:tc>
          <w:tcPr>
            <w:tcW w:w="1985" w:type="dxa"/>
            <w:shd w:val="clear" w:color="auto" w:fill="D9D9D9" w:themeFill="background1" w:themeFillShade="D9"/>
          </w:tcPr>
          <w:p w:rsidR="001D55D2" w:rsidRPr="00DC13FC" w:rsidRDefault="001D55D2" w:rsidP="00974E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8755" w:type="dxa"/>
          </w:tcPr>
          <w:p w:rsidR="001D55D2" w:rsidRPr="005F2542" w:rsidRDefault="001D55D2" w:rsidP="00974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5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+/-1 </w:t>
            </w:r>
            <w:proofErr w:type="spellStart"/>
            <w:r w:rsidRPr="005F254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μg</w:t>
            </w:r>
            <w:proofErr w:type="spellEnd"/>
            <w:r w:rsidRPr="005F254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/m</w:t>
            </w:r>
            <w:r w:rsidRPr="005F254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</w:tbl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E65929" w:rsidTr="00E65929">
        <w:trPr>
          <w:trHeight w:val="397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E65929" w:rsidRDefault="00675907" w:rsidP="00E659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</w:p>
        </w:tc>
        <w:tc>
          <w:tcPr>
            <w:tcW w:w="903" w:type="dxa"/>
            <w:vAlign w:val="center"/>
          </w:tcPr>
          <w:p w:rsidR="00BD4124" w:rsidRPr="00E65929" w:rsidRDefault="00BD4124" w:rsidP="00E659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5929">
              <w:rPr>
                <w:rFonts w:asciiTheme="minorHAnsi" w:hAnsiTheme="minorHAnsi"/>
                <w:b/>
                <w:sz w:val="20"/>
                <w:szCs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E65929" w:rsidRDefault="00BD4124" w:rsidP="00E659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5929">
              <w:rPr>
                <w:rFonts w:asciiTheme="minorHAnsi" w:hAnsiTheme="minorHAnsi"/>
                <w:b/>
                <w:sz w:val="20"/>
                <w:szCs w:val="20"/>
              </w:rPr>
              <w:t>Notes</w:t>
            </w: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675907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463549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345E2E" w:rsidRDefault="00675907" w:rsidP="003C2FD3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675907" w:rsidRPr="00E65929" w:rsidRDefault="00675907" w:rsidP="00E659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5907" w:rsidRPr="00E65929" w:rsidTr="00675907">
        <w:trPr>
          <w:trHeight w:val="340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675907" w:rsidRPr="004C2627" w:rsidRDefault="00675907" w:rsidP="003C2F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675907" w:rsidRPr="00E65929" w:rsidRDefault="00675907" w:rsidP="00675907">
            <w:pPr>
              <w:rPr>
                <w:rFonts w:asciiTheme="minorHAnsi" w:hAnsiTheme="minorHAnsi"/>
                <w:sz w:val="20"/>
                <w:szCs w:val="20"/>
              </w:rPr>
            </w:pPr>
            <w:r w:rsidRPr="00E65929">
              <w:rPr>
                <w:rFonts w:asciiTheme="minorHAnsi" w:hAnsiTheme="minorHAnsi"/>
                <w:sz w:val="20"/>
                <w:szCs w:val="20"/>
              </w:rPr>
              <w:t>Northern Ireland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level</w:t>
            </w:r>
            <w:r w:rsidRPr="00E6592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</w:tbl>
    <w:bookmarkEnd w:id="0"/>
    <w:p w:rsidR="00675907" w:rsidRPr="000E15DF" w:rsidRDefault="00675907" w:rsidP="00675907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p w:rsidR="00357CC1" w:rsidRPr="00E65929" w:rsidRDefault="00357CC1" w:rsidP="000200B0">
      <w:pPr>
        <w:rPr>
          <w:rFonts w:asciiTheme="minorHAnsi" w:hAnsiTheme="minorHAnsi"/>
          <w:sz w:val="20"/>
          <w:szCs w:val="20"/>
        </w:rPr>
      </w:pPr>
    </w:p>
    <w:sectPr w:rsidR="00357CC1" w:rsidRPr="00E65929" w:rsidSect="008F67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DC" w:rsidRDefault="005854DC" w:rsidP="008F671D">
      <w:r>
        <w:separator/>
      </w:r>
    </w:p>
  </w:endnote>
  <w:endnote w:type="continuationSeparator" w:id="0">
    <w:p w:rsidR="005854DC" w:rsidRDefault="005854DC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D3" w:rsidRDefault="003C2F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D3" w:rsidRDefault="003C2F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D3" w:rsidRDefault="003C2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DC" w:rsidRDefault="005854DC" w:rsidP="008F671D">
      <w:r>
        <w:separator/>
      </w:r>
    </w:p>
  </w:footnote>
  <w:footnote w:type="continuationSeparator" w:id="0">
    <w:p w:rsidR="005854DC" w:rsidRDefault="005854DC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D3" w:rsidRDefault="003C2F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D3" w:rsidRPr="00E14E8E" w:rsidRDefault="003C2FD3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>
      <w:rPr>
        <w:rFonts w:asciiTheme="minorHAnsi" w:hAnsiTheme="minorHAnsi" w:cs="Arial"/>
        <w:b/>
        <w:color w:val="808080" w:themeColor="background1" w:themeShade="80"/>
        <w:sz w:val="28"/>
      </w:rPr>
      <w:t>2021</w:t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D3" w:rsidRDefault="003C2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0"/>
    <w:rsid w:val="00004ECB"/>
    <w:rsid w:val="000200B0"/>
    <w:rsid w:val="000376BD"/>
    <w:rsid w:val="0008290B"/>
    <w:rsid w:val="000D301C"/>
    <w:rsid w:val="000D5070"/>
    <w:rsid w:val="000F3B3F"/>
    <w:rsid w:val="000F6585"/>
    <w:rsid w:val="0014783E"/>
    <w:rsid w:val="00157F29"/>
    <w:rsid w:val="001668A0"/>
    <w:rsid w:val="0017627C"/>
    <w:rsid w:val="001849F8"/>
    <w:rsid w:val="001863BB"/>
    <w:rsid w:val="001C2C68"/>
    <w:rsid w:val="001D55D2"/>
    <w:rsid w:val="001D69FA"/>
    <w:rsid w:val="001E4ECD"/>
    <w:rsid w:val="00224E60"/>
    <w:rsid w:val="00236A7D"/>
    <w:rsid w:val="00254DA2"/>
    <w:rsid w:val="00286FF8"/>
    <w:rsid w:val="00287DB3"/>
    <w:rsid w:val="002903D9"/>
    <w:rsid w:val="002F5C37"/>
    <w:rsid w:val="002F7F82"/>
    <w:rsid w:val="00316D9E"/>
    <w:rsid w:val="00347E28"/>
    <w:rsid w:val="00351988"/>
    <w:rsid w:val="00357CC1"/>
    <w:rsid w:val="00367780"/>
    <w:rsid w:val="00372264"/>
    <w:rsid w:val="00393E78"/>
    <w:rsid w:val="00397F49"/>
    <w:rsid w:val="003A6BBA"/>
    <w:rsid w:val="003C2FD3"/>
    <w:rsid w:val="003D0316"/>
    <w:rsid w:val="003D6B98"/>
    <w:rsid w:val="003E6FDF"/>
    <w:rsid w:val="003F74DA"/>
    <w:rsid w:val="00427039"/>
    <w:rsid w:val="00431ADF"/>
    <w:rsid w:val="00450A47"/>
    <w:rsid w:val="00463549"/>
    <w:rsid w:val="004A2D2E"/>
    <w:rsid w:val="004B4757"/>
    <w:rsid w:val="004E3F3E"/>
    <w:rsid w:val="004F25C5"/>
    <w:rsid w:val="00535E10"/>
    <w:rsid w:val="005854DC"/>
    <w:rsid w:val="00596A9B"/>
    <w:rsid w:val="005C358F"/>
    <w:rsid w:val="005C79AD"/>
    <w:rsid w:val="005D6FA3"/>
    <w:rsid w:val="005E1FED"/>
    <w:rsid w:val="00657BE3"/>
    <w:rsid w:val="00666576"/>
    <w:rsid w:val="006746BC"/>
    <w:rsid w:val="00675907"/>
    <w:rsid w:val="00682BA1"/>
    <w:rsid w:val="00684D51"/>
    <w:rsid w:val="00693D20"/>
    <w:rsid w:val="006B0988"/>
    <w:rsid w:val="006C5D05"/>
    <w:rsid w:val="006D6E49"/>
    <w:rsid w:val="00700A23"/>
    <w:rsid w:val="007345C0"/>
    <w:rsid w:val="00735E57"/>
    <w:rsid w:val="00770017"/>
    <w:rsid w:val="007B3DDE"/>
    <w:rsid w:val="007B4151"/>
    <w:rsid w:val="007D0190"/>
    <w:rsid w:val="00805359"/>
    <w:rsid w:val="00806A6E"/>
    <w:rsid w:val="0085127E"/>
    <w:rsid w:val="00892F12"/>
    <w:rsid w:val="008B1A39"/>
    <w:rsid w:val="008B6781"/>
    <w:rsid w:val="008F671D"/>
    <w:rsid w:val="00912707"/>
    <w:rsid w:val="00934F2E"/>
    <w:rsid w:val="0093669F"/>
    <w:rsid w:val="00936948"/>
    <w:rsid w:val="009373F2"/>
    <w:rsid w:val="00977923"/>
    <w:rsid w:val="009E19FD"/>
    <w:rsid w:val="009E2CC9"/>
    <w:rsid w:val="009E3528"/>
    <w:rsid w:val="00A17C1E"/>
    <w:rsid w:val="00A335DC"/>
    <w:rsid w:val="00A535C2"/>
    <w:rsid w:val="00A7541A"/>
    <w:rsid w:val="00AE47AE"/>
    <w:rsid w:val="00AE6B78"/>
    <w:rsid w:val="00AF2B05"/>
    <w:rsid w:val="00B1177D"/>
    <w:rsid w:val="00B6370C"/>
    <w:rsid w:val="00B93485"/>
    <w:rsid w:val="00BA30F9"/>
    <w:rsid w:val="00BD4124"/>
    <w:rsid w:val="00BD495D"/>
    <w:rsid w:val="00C33CE5"/>
    <w:rsid w:val="00C3447C"/>
    <w:rsid w:val="00C90F1A"/>
    <w:rsid w:val="00D62A48"/>
    <w:rsid w:val="00D74CFD"/>
    <w:rsid w:val="00DB7450"/>
    <w:rsid w:val="00DE1E9C"/>
    <w:rsid w:val="00DF45BF"/>
    <w:rsid w:val="00E14E8E"/>
    <w:rsid w:val="00E26694"/>
    <w:rsid w:val="00E62A67"/>
    <w:rsid w:val="00E65929"/>
    <w:rsid w:val="00EC2D22"/>
    <w:rsid w:val="00EC61A5"/>
    <w:rsid w:val="00EF2DD6"/>
    <w:rsid w:val="00F1386C"/>
    <w:rsid w:val="00F323CD"/>
    <w:rsid w:val="00F52F1A"/>
    <w:rsid w:val="00F53C90"/>
    <w:rsid w:val="00F81E8B"/>
    <w:rsid w:val="00FA18CD"/>
    <w:rsid w:val="00FB47D0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94D18-A682-41F8-AC88-F39180B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47AE"/>
    <w:rPr>
      <w:color w:val="800080" w:themeColor="followedHyperlink"/>
      <w:u w:val="single"/>
    </w:rPr>
  </w:style>
  <w:style w:type="paragraph" w:customStyle="1" w:styleId="Default">
    <w:name w:val="Default"/>
    <w:rsid w:val="00004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D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era-ni.gov.uk/articles/northern-ireland-environmental-statistics-report" TargetMode="External"/><Relationship Id="rId13" Type="http://schemas.openxmlformats.org/officeDocument/2006/relationships/hyperlink" Target="http://www.airqualityni.co.u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k-air.defra.gov.uk/air-pollution/uk-eu-limi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-air.defra.gov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aera-ni.gov.uk/sites/default/files/publications/daera/ni-environmental-statistics-user-information-2020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airqualityni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32299-326A-4FD0-BC01-1C86C3C6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Katie Barbour</cp:lastModifiedBy>
  <cp:revision>3</cp:revision>
  <cp:lastPrinted>2016-05-25T14:16:00Z</cp:lastPrinted>
  <dcterms:created xsi:type="dcterms:W3CDTF">2020-06-04T09:22:00Z</dcterms:created>
  <dcterms:modified xsi:type="dcterms:W3CDTF">2020-06-04T09:22:00Z</dcterms:modified>
</cp:coreProperties>
</file>