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672A60" w:rsidRPr="00672A60" w:rsidTr="00D13AEF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2A60" w:rsidRPr="00672A60" w:rsidRDefault="00672A60" w:rsidP="005A3A7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672A60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</w:p>
        </w:tc>
        <w:tc>
          <w:tcPr>
            <w:tcW w:w="7371" w:type="dxa"/>
            <w:vAlign w:val="center"/>
          </w:tcPr>
          <w:p w:rsidR="00672A60" w:rsidRPr="00877885" w:rsidRDefault="005A3A70" w:rsidP="003201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A3A70">
              <w:rPr>
                <w:rFonts w:asciiTheme="minorHAnsi" w:hAnsiTheme="minorHAnsi"/>
                <w:b/>
                <w:sz w:val="20"/>
                <w:szCs w:val="20"/>
              </w:rPr>
              <w:t>% engaging in arts/cultural activities</w:t>
            </w:r>
            <w:bookmarkStart w:id="1" w:name="_GoBack"/>
            <w:bookmarkEnd w:id="1"/>
          </w:p>
        </w:tc>
      </w:tr>
    </w:tbl>
    <w:p w:rsidR="00FB47D0" w:rsidRPr="00672A60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672A60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371" w:type="dxa"/>
            <w:vAlign w:val="center"/>
          </w:tcPr>
          <w:p w:rsidR="00672A60" w:rsidRPr="00672A60" w:rsidRDefault="00392DAF" w:rsidP="00672A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Iain Bryson</w:t>
            </w:r>
            <w:r w:rsidR="00672A6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72A60" w:rsidRPr="00672A60">
              <w:rPr>
                <w:rFonts w:asciiTheme="minorHAnsi" w:hAnsiTheme="minorHAnsi"/>
                <w:sz w:val="20"/>
                <w:szCs w:val="20"/>
              </w:rPr>
              <w:t>Department for Communities</w:t>
            </w:r>
          </w:p>
        </w:tc>
      </w:tr>
      <w:tr w:rsidR="00672A60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371" w:type="dxa"/>
            <w:vAlign w:val="center"/>
          </w:tcPr>
          <w:p w:rsidR="00392DAF" w:rsidRPr="00672A60" w:rsidRDefault="00086088" w:rsidP="00392DAF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392DAF" w:rsidRPr="00F271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https://www.communities-ni.gov.uk/publications/engagement-culture-arts-and-sport-by-adults-northern-ireland-201920</w:t>
              </w:r>
            </w:hyperlink>
          </w:p>
        </w:tc>
      </w:tr>
      <w:tr w:rsidR="00672A60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Annually</w:t>
            </w:r>
          </w:p>
        </w:tc>
      </w:tr>
      <w:tr w:rsidR="00672A60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371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May of each year - eight weeks following the end of the fieldwork period</w:t>
            </w:r>
          </w:p>
        </w:tc>
      </w:tr>
      <w:tr w:rsidR="00672A60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371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Survey</w:t>
            </w:r>
          </w:p>
        </w:tc>
      </w:tr>
      <w:tr w:rsidR="00672A60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371" w:type="dxa"/>
            <w:vAlign w:val="center"/>
          </w:tcPr>
          <w:p w:rsidR="00672A60" w:rsidRPr="00672A60" w:rsidRDefault="00815F25" w:rsidP="00672A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392DAF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DAF" w:rsidRPr="00345E2E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371" w:type="dxa"/>
            <w:vAlign w:val="center"/>
          </w:tcPr>
          <w:p w:rsidR="00392DAF" w:rsidRPr="00672A60" w:rsidRDefault="00086088" w:rsidP="00392DAF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392DAF" w:rsidRPr="00F2715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https://www.communities-ni.gov.uk/publications/engagement-culture-arts-and-sport-by-adults-northern-ireland-201920</w:t>
              </w:r>
            </w:hyperlink>
            <w:r w:rsidR="00392DA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2DAF" w:rsidRPr="00392DAF">
              <w:rPr>
                <w:rFonts w:asciiTheme="minorHAnsi" w:hAnsiTheme="minorHAnsi"/>
                <w:sz w:val="20"/>
                <w:szCs w:val="20"/>
              </w:rPr>
              <w:t>Quality report: Continuous Household Survey 2019/20</w:t>
            </w:r>
          </w:p>
        </w:tc>
      </w:tr>
      <w:tr w:rsidR="00392DAF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DAF" w:rsidRPr="00345E2E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371" w:type="dxa"/>
            <w:vAlign w:val="center"/>
          </w:tcPr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2007/08</w:t>
            </w:r>
          </w:p>
        </w:tc>
      </w:tr>
      <w:tr w:rsidR="00392DAF" w:rsidRPr="00672A60" w:rsidTr="00F63CD9">
        <w:trPr>
          <w:trHeight w:val="3408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DAF" w:rsidRPr="00345E2E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392DAF" w:rsidRPr="00345E2E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2DAF" w:rsidRPr="00345E2E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392DAF" w:rsidRPr="00672A60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A60">
              <w:rPr>
                <w:rFonts w:asciiTheme="minorHAnsi" w:hAnsiTheme="minorHAnsi"/>
                <w:b/>
                <w:sz w:val="20"/>
                <w:szCs w:val="20"/>
              </w:rPr>
              <w:t>% engaging with arts/cultural activities in the past year</w:t>
            </w:r>
          </w:p>
          <w:tbl>
            <w:tblPr>
              <w:tblW w:w="2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0"/>
              <w:gridCol w:w="1300"/>
            </w:tblGrid>
            <w:tr w:rsidR="00392DAF" w:rsidRPr="00570894" w:rsidTr="00570894">
              <w:trPr>
                <w:trHeight w:val="240"/>
              </w:trPr>
              <w:tc>
                <w:tcPr>
                  <w:tcW w:w="1010" w:type="dxa"/>
                  <w:shd w:val="clear" w:color="000000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en-GB"/>
                    </w:rPr>
                    <w:t>Year</w:t>
                  </w:r>
                </w:p>
              </w:tc>
              <w:tc>
                <w:tcPr>
                  <w:tcW w:w="1300" w:type="dxa"/>
                  <w:shd w:val="clear" w:color="000000" w:fill="auto"/>
                  <w:vAlign w:val="center"/>
                  <w:hideMark/>
                </w:tcPr>
                <w:p w:rsidR="00392DAF" w:rsidRPr="00570894" w:rsidRDefault="00392DAF" w:rsidP="00392DAF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en-GB"/>
                    </w:rPr>
                    <w:t>%</w:t>
                  </w:r>
                </w:p>
              </w:tc>
            </w:tr>
            <w:tr w:rsidR="00392DAF" w:rsidRPr="00672A60" w:rsidTr="00570894">
              <w:trPr>
                <w:trHeight w:val="255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2007/08</w:t>
                  </w:r>
                </w:p>
              </w:tc>
              <w:tc>
                <w:tcPr>
                  <w:tcW w:w="1300" w:type="dxa"/>
                  <w:shd w:val="clear" w:color="auto" w:fill="auto"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72A6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2008/09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72A6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2009/10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72A6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2010/11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72A6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2011/12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72A6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</w:tr>
            <w:tr w:rsidR="00392DAF" w:rsidRPr="00672A60" w:rsidTr="00570894">
              <w:trPr>
                <w:trHeight w:val="255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2012/13</w:t>
                  </w:r>
                </w:p>
              </w:tc>
              <w:tc>
                <w:tcPr>
                  <w:tcW w:w="1300" w:type="dxa"/>
                  <w:shd w:val="clear" w:color="auto" w:fill="auto"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72A6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</w:tr>
            <w:tr w:rsidR="00392DAF" w:rsidRPr="00672A60" w:rsidTr="00570894">
              <w:trPr>
                <w:trHeight w:val="255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2013/14</w:t>
                  </w:r>
                </w:p>
              </w:tc>
              <w:tc>
                <w:tcPr>
                  <w:tcW w:w="1300" w:type="dxa"/>
                  <w:shd w:val="clear" w:color="auto" w:fill="auto"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72A6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2014/15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72A6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  <w:hideMark/>
                </w:tcPr>
                <w:p w:rsidR="00392DAF" w:rsidRPr="00570894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  <w:r w:rsidRPr="00570894"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/1</w:t>
                  </w: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392DAF" w:rsidRPr="00672A60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</w:tcPr>
                <w:p w:rsidR="00392DAF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2016/17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</w:tcPr>
                <w:p w:rsidR="00392DAF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</w:tcPr>
                <w:p w:rsidR="00392DAF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2017/18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</w:tcPr>
                <w:p w:rsidR="00392DAF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</w:tcPr>
                <w:p w:rsidR="00392DAF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2018/19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</w:tcPr>
                <w:p w:rsidR="00392DAF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392DAF" w:rsidRPr="00672A60" w:rsidTr="00570894">
              <w:trPr>
                <w:trHeight w:val="240"/>
              </w:trPr>
              <w:tc>
                <w:tcPr>
                  <w:tcW w:w="1010" w:type="dxa"/>
                  <w:shd w:val="clear" w:color="auto" w:fill="auto"/>
                  <w:noWrap/>
                  <w:vAlign w:val="center"/>
                </w:tcPr>
                <w:p w:rsidR="00392DAF" w:rsidRDefault="00392DAF" w:rsidP="00392DAF">
                  <w:pP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en-GB"/>
                    </w:rPr>
                    <w:t>2019/20</w:t>
                  </w:r>
                </w:p>
              </w:tc>
              <w:tc>
                <w:tcPr>
                  <w:tcW w:w="1300" w:type="dxa"/>
                  <w:shd w:val="clear" w:color="auto" w:fill="auto"/>
                  <w:noWrap/>
                  <w:vAlign w:val="bottom"/>
                </w:tcPr>
                <w:p w:rsidR="00392DAF" w:rsidRDefault="00392DAF" w:rsidP="00392DAF">
                  <w:pPr>
                    <w:jc w:val="right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</w:tbl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DAF" w:rsidRPr="00672A60" w:rsidTr="00D13AEF">
        <w:trPr>
          <w:trHeight w:val="68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DAF" w:rsidRPr="00345E2E" w:rsidRDefault="00392DAF" w:rsidP="00392DAF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392DAF" w:rsidRPr="00345E2E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371" w:type="dxa"/>
            <w:vAlign w:val="center"/>
          </w:tcPr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 xml:space="preserve">Sample size: </w:t>
            </w:r>
            <w:r>
              <w:rPr>
                <w:rFonts w:asciiTheme="minorHAnsi" w:hAnsiTheme="minorHAnsi"/>
                <w:sz w:val="20"/>
                <w:szCs w:val="20"/>
              </w:rPr>
              <w:t>5,914</w:t>
            </w:r>
          </w:p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 xml:space="preserve">Confidence interval:+/- </w:t>
            </w:r>
            <w:r>
              <w:rPr>
                <w:rFonts w:asciiTheme="minorHAnsi" w:hAnsiTheme="minorHAnsi"/>
                <w:sz w:val="20"/>
                <w:szCs w:val="20"/>
              </w:rPr>
              <w:t>0.9</w:t>
            </w:r>
          </w:p>
        </w:tc>
      </w:tr>
      <w:tr w:rsidR="00392DAF" w:rsidRPr="00672A60" w:rsidTr="005978F0">
        <w:trPr>
          <w:trHeight w:val="111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DAF" w:rsidRPr="00345E2E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371" w:type="dxa"/>
            <w:vAlign w:val="center"/>
          </w:tcPr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UK: Not directly comparable</w:t>
            </w:r>
          </w:p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UK Regional: Not directly comparable</w:t>
            </w:r>
          </w:p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RoI: Not directly comparable</w:t>
            </w:r>
          </w:p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International (please specify countries): Not directly comparable</w:t>
            </w:r>
          </w:p>
        </w:tc>
      </w:tr>
      <w:tr w:rsidR="00392DAF" w:rsidRPr="00672A60" w:rsidTr="00D13AEF">
        <w:trPr>
          <w:trHeight w:val="1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DAF" w:rsidRPr="00345E2E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data limitations, future data availability, changes to methodology </w:t>
            </w:r>
          </w:p>
        </w:tc>
        <w:tc>
          <w:tcPr>
            <w:tcW w:w="7371" w:type="dxa"/>
            <w:vAlign w:val="center"/>
          </w:tcPr>
          <w:p w:rsidR="005978F0" w:rsidRDefault="00392DAF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 xml:space="preserve">Sample survey, confidence intervals indicated above. </w:t>
            </w:r>
          </w:p>
          <w:p w:rsidR="001F509C" w:rsidRDefault="001F509C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Engagement in culture/arts activities is defined as doing at least one of the following: engaging in the arts, using the public library service, visiting a museum or science centre or using PRONI services.  </w:t>
            </w:r>
          </w:p>
          <w:p w:rsidR="005978F0" w:rsidRDefault="001F509C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Using</w:t>
            </w:r>
            <w:r w:rsidR="00392DAF" w:rsidRPr="00672A60">
              <w:rPr>
                <w:rFonts w:asciiTheme="minorHAnsi" w:hAnsiTheme="minorHAnsi"/>
                <w:sz w:val="20"/>
                <w:szCs w:val="20"/>
              </w:rPr>
              <w:t xml:space="preserve"> PRONI </w:t>
            </w:r>
            <w:r>
              <w:rPr>
                <w:rFonts w:asciiTheme="minorHAnsi" w:hAnsiTheme="minorHAnsi"/>
                <w:sz w:val="20"/>
                <w:szCs w:val="20"/>
              </w:rPr>
              <w:t>services is only included from 2011/12 onwards as it was</w:t>
            </w:r>
            <w:r w:rsidR="00392DAF" w:rsidRPr="00672A60">
              <w:rPr>
                <w:rFonts w:asciiTheme="minorHAnsi" w:hAnsiTheme="minorHAnsi"/>
                <w:sz w:val="20"/>
                <w:szCs w:val="20"/>
              </w:rPr>
              <w:t xml:space="preserve"> not available for the earlier years.</w:t>
            </w:r>
            <w:r w:rsidR="009524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92DAF" w:rsidRDefault="00952489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952489">
              <w:rPr>
                <w:rFonts w:asciiTheme="minorHAnsi" w:hAnsiTheme="minorHAnsi"/>
                <w:sz w:val="20"/>
                <w:szCs w:val="20"/>
              </w:rPr>
              <w:t xml:space="preserve">In 2019/20, the questions on visits to museums were revised </w:t>
            </w:r>
            <w:r w:rsidR="001F509C">
              <w:rPr>
                <w:rFonts w:asciiTheme="minorHAnsi" w:hAnsiTheme="minorHAnsi"/>
                <w:sz w:val="20"/>
                <w:szCs w:val="20"/>
              </w:rPr>
              <w:t>and a</w:t>
            </w:r>
            <w:r w:rsidRPr="00952489">
              <w:rPr>
                <w:rFonts w:asciiTheme="minorHAnsi" w:hAnsiTheme="minorHAnsi"/>
                <w:sz w:val="20"/>
                <w:szCs w:val="20"/>
              </w:rPr>
              <w:t xml:space="preserve">s a result figures for visits to museums in 2019/20 are not comparable with previous years.  Although this is one element of the overall culture and arts engagement rate, the impact of the change is lessened </w:t>
            </w:r>
            <w:r w:rsidR="001F509C">
              <w:rPr>
                <w:rFonts w:asciiTheme="minorHAnsi" w:hAnsiTheme="minorHAnsi"/>
                <w:sz w:val="20"/>
                <w:szCs w:val="20"/>
              </w:rPr>
              <w:t xml:space="preserve">in the culture and arts estimates as </w:t>
            </w:r>
            <w:r w:rsidRPr="00952489">
              <w:rPr>
                <w:rFonts w:asciiTheme="minorHAnsi" w:hAnsiTheme="minorHAnsi"/>
                <w:sz w:val="20"/>
                <w:szCs w:val="20"/>
              </w:rPr>
              <w:t>the majority of those who visit museums also engage in some other way with culture and arts.</w:t>
            </w:r>
          </w:p>
          <w:p w:rsidR="005978F0" w:rsidRPr="00672A60" w:rsidRDefault="005978F0" w:rsidP="007618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 to the COVID-19 pandemic, the mode of data collection for </w:t>
            </w:r>
            <w:r w:rsidR="007618CA">
              <w:rPr>
                <w:rFonts w:asciiTheme="minorHAnsi" w:hAnsiTheme="minorHAnsi"/>
                <w:sz w:val="20"/>
                <w:szCs w:val="20"/>
              </w:rPr>
              <w:t>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Continuous Household Survey has been changed from face-to-face to telephone interviewing for 2020/21.  This is likely to impact on the comparability of 2020/21 results with previous years.</w:t>
            </w:r>
          </w:p>
        </w:tc>
      </w:tr>
      <w:tr w:rsidR="00392DAF" w:rsidRPr="00672A60" w:rsidTr="00D13AEF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DAF" w:rsidRPr="00672A60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A6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371" w:type="dxa"/>
            <w:vAlign w:val="center"/>
          </w:tcPr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392DAF" w:rsidRPr="00672A60" w:rsidTr="00D13AEF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92DAF" w:rsidRPr="00672A60" w:rsidRDefault="00392DAF" w:rsidP="00392D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A60">
              <w:rPr>
                <w:rFonts w:asciiTheme="minorHAnsi" w:hAnsiTheme="minorHAnsi"/>
                <w:b/>
                <w:sz w:val="20"/>
                <w:szCs w:val="20"/>
              </w:rPr>
              <w:t xml:space="preserve">If yes, please specify any particular baseline point/year for the measure </w:t>
            </w:r>
            <w:r w:rsidRPr="00672A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which is being for performance monitoring purposes</w:t>
            </w:r>
          </w:p>
        </w:tc>
        <w:tc>
          <w:tcPr>
            <w:tcW w:w="7371" w:type="dxa"/>
            <w:vAlign w:val="center"/>
          </w:tcPr>
          <w:p w:rsidR="00392DAF" w:rsidRPr="00672A60" w:rsidRDefault="00392DAF" w:rsidP="00392DA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D4124" w:rsidRPr="00672A60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672A60" w:rsidTr="00672A60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672A60" w:rsidRDefault="00672A60" w:rsidP="00672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672A60" w:rsidRDefault="00BD4124" w:rsidP="00672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A60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672A60" w:rsidRDefault="00BD4124" w:rsidP="00672A6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2A60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672A6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A6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672A60" w:rsidRPr="00672A60" w:rsidRDefault="005978F0" w:rsidP="00672A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72A6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 be available later this year.  </w:t>
            </w:r>
            <w:r w:rsidR="00672A60" w:rsidRPr="00672A60">
              <w:rPr>
                <w:rFonts w:asciiTheme="minorHAnsi" w:hAnsiTheme="minorHAnsi"/>
                <w:sz w:val="20"/>
                <w:szCs w:val="20"/>
              </w:rPr>
              <w:t>Analysis involve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672A60" w:rsidRPr="00672A60">
              <w:rPr>
                <w:rFonts w:asciiTheme="minorHAnsi" w:hAnsiTheme="minorHAnsi"/>
                <w:sz w:val="20"/>
                <w:szCs w:val="20"/>
              </w:rPr>
              <w:t xml:space="preserve"> combining annual datasets</w:t>
            </w:r>
            <w:r w:rsidR="00E026F6">
              <w:rPr>
                <w:rFonts w:asciiTheme="minorHAnsi" w:hAnsiTheme="minorHAnsi"/>
                <w:sz w:val="20"/>
                <w:szCs w:val="20"/>
              </w:rPr>
              <w:t xml:space="preserve"> prior to 2017/18.  Increased sample sizes </w:t>
            </w:r>
            <w:r>
              <w:rPr>
                <w:rFonts w:asciiTheme="minorHAnsi" w:hAnsiTheme="minorHAnsi"/>
                <w:sz w:val="20"/>
                <w:szCs w:val="20"/>
              </w:rPr>
              <w:t>from</w:t>
            </w:r>
            <w:r w:rsidR="00E026F6">
              <w:rPr>
                <w:rFonts w:asciiTheme="minorHAnsi" w:hAnsiTheme="minorHAnsi"/>
                <w:sz w:val="20"/>
                <w:szCs w:val="20"/>
              </w:rPr>
              <w:t xml:space="preserve"> 2017/18 allow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E026F6">
              <w:rPr>
                <w:rFonts w:asciiTheme="minorHAnsi" w:hAnsiTheme="minorHAnsi"/>
                <w:sz w:val="20"/>
                <w:szCs w:val="20"/>
              </w:rPr>
              <w:t xml:space="preserve"> analysis to be carried out on a single year.</w:t>
            </w:r>
          </w:p>
        </w:tc>
      </w:tr>
      <w:tr w:rsidR="00672A6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2A60" w:rsidRPr="00345E2E" w:rsidRDefault="00FE6EBD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72A6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Will be available later this year.  </w:t>
            </w:r>
            <w:r w:rsidRPr="00672A60">
              <w:rPr>
                <w:rFonts w:asciiTheme="minorHAnsi" w:hAnsiTheme="minorHAnsi"/>
                <w:sz w:val="20"/>
                <w:szCs w:val="20"/>
              </w:rPr>
              <w:t>Analysis involve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72A60">
              <w:rPr>
                <w:rFonts w:asciiTheme="minorHAnsi" w:hAnsiTheme="minorHAnsi"/>
                <w:sz w:val="20"/>
                <w:szCs w:val="20"/>
              </w:rPr>
              <w:t xml:space="preserve"> combining annual datasets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prior to 2017/18.  Increased sample sizes from 2017/18 allows analysis to be carried out on a single year.</w:t>
            </w:r>
          </w:p>
        </w:tc>
      </w:tr>
      <w:tr w:rsidR="00672A6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72A60" w:rsidRPr="00672A60" w:rsidRDefault="005978F0" w:rsidP="00672A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in September 2020</w:t>
            </w:r>
          </w:p>
        </w:tc>
      </w:tr>
      <w:tr w:rsidR="005978F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978F0" w:rsidRPr="00345E2E" w:rsidRDefault="005978F0" w:rsidP="005978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in September 2020</w:t>
            </w:r>
          </w:p>
        </w:tc>
      </w:tr>
      <w:tr w:rsidR="005978F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978F0" w:rsidRPr="00345E2E" w:rsidRDefault="005978F0" w:rsidP="005978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in September 2020</w:t>
            </w:r>
          </w:p>
        </w:tc>
      </w:tr>
      <w:tr w:rsidR="005978F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978F0" w:rsidRPr="00345E2E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in September 2020</w:t>
            </w:r>
          </w:p>
        </w:tc>
      </w:tr>
      <w:tr w:rsidR="005978F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978F0" w:rsidRPr="00345E2E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in September 2020</w:t>
            </w:r>
          </w:p>
        </w:tc>
      </w:tr>
      <w:tr w:rsidR="005978F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978F0" w:rsidRPr="00345E2E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in September 2020</w:t>
            </w:r>
          </w:p>
        </w:tc>
      </w:tr>
      <w:tr w:rsidR="005978F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978F0" w:rsidRPr="00345E2E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78F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978F0" w:rsidRPr="00345E2E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in September 2020</w:t>
            </w:r>
          </w:p>
        </w:tc>
      </w:tr>
      <w:tr w:rsidR="005978F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5978F0" w:rsidRPr="00345E2E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5978F0" w:rsidRPr="00672A60" w:rsidRDefault="005978F0" w:rsidP="005978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Available in September 2020</w:t>
            </w:r>
          </w:p>
        </w:tc>
      </w:tr>
      <w:tr w:rsidR="00672A6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Analysis could be carried out at this level but would involve combining annual datasets</w:t>
            </w:r>
          </w:p>
        </w:tc>
      </w:tr>
      <w:tr w:rsidR="00672A6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2A60" w:rsidRPr="00345E2E" w:rsidRDefault="00672A60" w:rsidP="001E691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2A60" w:rsidRPr="00672A60" w:rsidRDefault="00672A60" w:rsidP="00672A60">
            <w:pPr>
              <w:rPr>
                <w:rFonts w:asciiTheme="minorHAnsi" w:hAnsiTheme="minorHAnsi"/>
                <w:sz w:val="20"/>
                <w:szCs w:val="20"/>
              </w:rPr>
            </w:pPr>
            <w:r w:rsidRPr="00672A60">
              <w:rPr>
                <w:rFonts w:asciiTheme="minorHAnsi" w:hAnsiTheme="minorHAnsi"/>
                <w:sz w:val="20"/>
                <w:szCs w:val="20"/>
              </w:rPr>
              <w:t>Analysis could be carried out at this level but would involve combining annual datasets</w:t>
            </w:r>
          </w:p>
        </w:tc>
      </w:tr>
      <w:tr w:rsidR="00672A60" w:rsidRPr="00672A60" w:rsidTr="00672A60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2A60" w:rsidRPr="004C2627" w:rsidRDefault="00672A60" w:rsidP="001E6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672A60" w:rsidRPr="00672A60" w:rsidRDefault="00CF3410" w:rsidP="00672A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Government District (2014)</w:t>
            </w:r>
            <w:r w:rsidRPr="00672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2A60" w:rsidRPr="00672A60">
              <w:rPr>
                <w:rFonts w:asciiTheme="minorHAnsi" w:hAnsiTheme="minorHAnsi"/>
                <w:sz w:val="20"/>
                <w:szCs w:val="20"/>
              </w:rPr>
              <w:t>(based on combining three years data</w:t>
            </w:r>
            <w:r w:rsidR="00741B9C">
              <w:rPr>
                <w:rFonts w:asciiTheme="minorHAnsi" w:hAnsiTheme="minorHAnsi"/>
                <w:sz w:val="20"/>
                <w:szCs w:val="20"/>
              </w:rPr>
              <w:t xml:space="preserve"> prior to 2018/19</w:t>
            </w:r>
            <w:r w:rsidR="00672A60" w:rsidRPr="00672A6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bookmarkEnd w:id="0"/>
    <w:p w:rsidR="00672A60" w:rsidRPr="000E15DF" w:rsidRDefault="00672A60" w:rsidP="00672A6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672A60" w:rsidRDefault="00357CC1" w:rsidP="000200B0">
      <w:pPr>
        <w:rPr>
          <w:rFonts w:asciiTheme="minorHAnsi" w:hAnsiTheme="minorHAnsi"/>
          <w:sz w:val="20"/>
          <w:szCs w:val="20"/>
        </w:rPr>
      </w:pPr>
    </w:p>
    <w:sectPr w:rsidR="00357CC1" w:rsidRPr="00672A60" w:rsidSect="008F67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88" w:rsidRDefault="00086088" w:rsidP="008F671D">
      <w:r>
        <w:separator/>
      </w:r>
    </w:p>
  </w:endnote>
  <w:endnote w:type="continuationSeparator" w:id="0">
    <w:p w:rsidR="00086088" w:rsidRDefault="00086088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B0" w:rsidRDefault="00673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B0" w:rsidRDefault="00673A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B0" w:rsidRDefault="00673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88" w:rsidRDefault="00086088" w:rsidP="008F671D">
      <w:r>
        <w:separator/>
      </w:r>
    </w:p>
  </w:footnote>
  <w:footnote w:type="continuationSeparator" w:id="0">
    <w:p w:rsidR="00086088" w:rsidRDefault="00086088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B0" w:rsidRDefault="00673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FE" w:rsidRPr="00E14E8E" w:rsidRDefault="00364CFE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673AB0">
      <w:rPr>
        <w:rFonts w:asciiTheme="minorHAnsi" w:hAnsiTheme="minorHAnsi" w:cs="Arial"/>
        <w:b/>
        <w:color w:val="808080" w:themeColor="background1" w:themeShade="80"/>
        <w:sz w:val="28"/>
      </w:rPr>
      <w:t>2021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72A6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72A6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72A6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72A6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672A60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B0" w:rsidRDefault="00673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200B0"/>
    <w:rsid w:val="00086088"/>
    <w:rsid w:val="0014783B"/>
    <w:rsid w:val="001668A0"/>
    <w:rsid w:val="001849F8"/>
    <w:rsid w:val="001863BB"/>
    <w:rsid w:val="001C2C68"/>
    <w:rsid w:val="001D69FA"/>
    <w:rsid w:val="001F509C"/>
    <w:rsid w:val="00254DA2"/>
    <w:rsid w:val="00316D9E"/>
    <w:rsid w:val="00320133"/>
    <w:rsid w:val="00357CC1"/>
    <w:rsid w:val="00364CFE"/>
    <w:rsid w:val="00372264"/>
    <w:rsid w:val="00392DAF"/>
    <w:rsid w:val="00397F49"/>
    <w:rsid w:val="003E1213"/>
    <w:rsid w:val="003E6FDF"/>
    <w:rsid w:val="003F1729"/>
    <w:rsid w:val="003F74DA"/>
    <w:rsid w:val="00415366"/>
    <w:rsid w:val="0052253F"/>
    <w:rsid w:val="00553699"/>
    <w:rsid w:val="005559F8"/>
    <w:rsid w:val="005571B2"/>
    <w:rsid w:val="00570894"/>
    <w:rsid w:val="005978F0"/>
    <w:rsid w:val="005A3A70"/>
    <w:rsid w:val="005C64CE"/>
    <w:rsid w:val="005C79AD"/>
    <w:rsid w:val="0061126E"/>
    <w:rsid w:val="00624B21"/>
    <w:rsid w:val="00626000"/>
    <w:rsid w:val="00672A60"/>
    <w:rsid w:val="00673AB0"/>
    <w:rsid w:val="0069599D"/>
    <w:rsid w:val="006B0988"/>
    <w:rsid w:val="006D6E49"/>
    <w:rsid w:val="00735E57"/>
    <w:rsid w:val="00741B9C"/>
    <w:rsid w:val="0075208B"/>
    <w:rsid w:val="007618CA"/>
    <w:rsid w:val="00770017"/>
    <w:rsid w:val="007C308B"/>
    <w:rsid w:val="007D0190"/>
    <w:rsid w:val="00802C1E"/>
    <w:rsid w:val="00806A6E"/>
    <w:rsid w:val="00815F25"/>
    <w:rsid w:val="00824E19"/>
    <w:rsid w:val="00853784"/>
    <w:rsid w:val="00875067"/>
    <w:rsid w:val="00877885"/>
    <w:rsid w:val="008B6781"/>
    <w:rsid w:val="008F671D"/>
    <w:rsid w:val="00922C21"/>
    <w:rsid w:val="009373F2"/>
    <w:rsid w:val="00952489"/>
    <w:rsid w:val="00977923"/>
    <w:rsid w:val="00A535C2"/>
    <w:rsid w:val="00A664E3"/>
    <w:rsid w:val="00A764BF"/>
    <w:rsid w:val="00AA131D"/>
    <w:rsid w:val="00AD791C"/>
    <w:rsid w:val="00AE6B78"/>
    <w:rsid w:val="00B6370C"/>
    <w:rsid w:val="00BD4124"/>
    <w:rsid w:val="00C23765"/>
    <w:rsid w:val="00CA6375"/>
    <w:rsid w:val="00CF3410"/>
    <w:rsid w:val="00D038F7"/>
    <w:rsid w:val="00D13AEF"/>
    <w:rsid w:val="00D3164A"/>
    <w:rsid w:val="00D82E2B"/>
    <w:rsid w:val="00DB3B89"/>
    <w:rsid w:val="00E026F6"/>
    <w:rsid w:val="00E14E8E"/>
    <w:rsid w:val="00EE0CAE"/>
    <w:rsid w:val="00EF099D"/>
    <w:rsid w:val="00EF2DD6"/>
    <w:rsid w:val="00F32396"/>
    <w:rsid w:val="00F43186"/>
    <w:rsid w:val="00F63CD9"/>
    <w:rsid w:val="00F81E8B"/>
    <w:rsid w:val="00FB47D0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B5141-8EFD-40B6-91D2-3ED24CF4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2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ies-ni.gov.uk/publications/engagement-culture-arts-and-sport-by-adults-northern-ireland-2019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unities-ni.gov.uk/publications/engagement-culture-arts-and-sport-by-adults-northern-ireland-2019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CC6B3-4C17-4AEC-A0F7-B306A56F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Niall O'Neill</dc:creator>
  <cp:lastModifiedBy>Katie Barbour</cp:lastModifiedBy>
  <cp:revision>3</cp:revision>
  <cp:lastPrinted>2016-05-20T12:58:00Z</cp:lastPrinted>
  <dcterms:created xsi:type="dcterms:W3CDTF">2020-05-29T08:11:00Z</dcterms:created>
  <dcterms:modified xsi:type="dcterms:W3CDTF">2020-05-29T08:11:00Z</dcterms:modified>
</cp:coreProperties>
</file>