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8F671D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3E6FDF" w:rsidRPr="008F671D" w:rsidTr="00882FF5">
        <w:trPr>
          <w:trHeight w:val="3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E6FDF" w:rsidRPr="00952736" w:rsidRDefault="00837F05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952736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523EC8">
              <w:rPr>
                <w:rFonts w:asciiTheme="minorHAnsi" w:hAnsiTheme="minorHAnsi"/>
                <w:b/>
                <w:sz w:val="20"/>
                <w:szCs w:val="20"/>
              </w:rPr>
              <w:t xml:space="preserve"> 24</w:t>
            </w:r>
            <w:r w:rsidR="003E6FDF" w:rsidRPr="0095273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A74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FB47D0" w:rsidRPr="00882FF5" w:rsidRDefault="00523EC8" w:rsidP="00837F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E1D">
              <w:rPr>
                <w:rFonts w:asciiTheme="minorHAnsi" w:hAnsiTheme="minorHAnsi" w:cs="Arial"/>
                <w:b/>
                <w:sz w:val="20"/>
                <w:szCs w:val="20"/>
              </w:rPr>
              <w:t>Proportion of premises with access to broadband services at speeds at or above 30 Mbps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23EC8" w:rsidP="000B1B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N/A: Non-NICS data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B31E51" w:rsidP="00823C0A">
            <w:pPr>
              <w:rPr>
                <w:rFonts w:asciiTheme="minorHAnsi" w:hAnsiTheme="minorHAnsi"/>
                <w:sz w:val="20"/>
              </w:rPr>
            </w:pPr>
            <w:hyperlink r:id="rId8" w:history="1">
              <w:r w:rsidR="009113EE" w:rsidRPr="00FC2B05">
                <w:rPr>
                  <w:rStyle w:val="Hyperlink"/>
                  <w:rFonts w:asciiTheme="minorHAnsi" w:hAnsiTheme="minorHAnsi"/>
                  <w:sz w:val="20"/>
                </w:rPr>
                <w:t>https://www.ofcom.org.uk/research-and-data/multi-sector-research/infrastructure-research/connected-nations-2019</w:t>
              </w:r>
            </w:hyperlink>
            <w:r w:rsidR="009113EE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23EC8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23EC8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 Reports are published in December each year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23EC8" w:rsidP="00AE209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Administrative</w:t>
            </w:r>
          </w:p>
        </w:tc>
      </w:tr>
      <w:tr w:rsidR="00523EC8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23EC8" w:rsidRPr="00345E2E" w:rsidRDefault="00523EC8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29" w:type="dxa"/>
            <w:gridSpan w:val="2"/>
            <w:vAlign w:val="center"/>
          </w:tcPr>
          <w:p w:rsidR="00523EC8" w:rsidRPr="008D0091" w:rsidRDefault="00523EC8" w:rsidP="00523EC8">
            <w:pPr>
              <w:rPr>
                <w:rFonts w:asciiTheme="minorHAnsi" w:hAnsiTheme="minorHAnsi"/>
                <w:sz w:val="20"/>
                <w:szCs w:val="20"/>
              </w:rPr>
            </w:pPr>
            <w:r w:rsidRPr="008D0091">
              <w:rPr>
                <w:rFonts w:asciiTheme="minorHAnsi" w:hAnsi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t Official Statistics</w:t>
            </w:r>
          </w:p>
        </w:tc>
      </w:tr>
      <w:tr w:rsidR="00523EC8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23EC8" w:rsidRPr="00345E2E" w:rsidRDefault="00523EC8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29" w:type="dxa"/>
            <w:gridSpan w:val="2"/>
            <w:vAlign w:val="center"/>
          </w:tcPr>
          <w:p w:rsidR="00523EC8" w:rsidRPr="008F671D" w:rsidRDefault="00523EC8" w:rsidP="00523E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523EC8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23EC8" w:rsidRPr="00345E2E" w:rsidRDefault="00523EC8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29" w:type="dxa"/>
            <w:gridSpan w:val="2"/>
            <w:vAlign w:val="center"/>
          </w:tcPr>
          <w:p w:rsidR="00523EC8" w:rsidRPr="008D0091" w:rsidRDefault="009113EE" w:rsidP="009113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523EC8" w:rsidRPr="008F671D" w:rsidTr="00823C0A">
        <w:trPr>
          <w:trHeight w:val="436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23EC8" w:rsidRPr="004D6771" w:rsidRDefault="00523EC8" w:rsidP="00523E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771">
              <w:rPr>
                <w:rFonts w:asciiTheme="minorHAnsi" w:hAnsiTheme="minorHAnsi"/>
                <w:b/>
                <w:sz w:val="20"/>
                <w:szCs w:val="20"/>
              </w:rPr>
              <w:t>Time-series trend:</w:t>
            </w:r>
          </w:p>
          <w:p w:rsidR="00523EC8" w:rsidRPr="00B8684A" w:rsidRDefault="00523EC8" w:rsidP="00523EC8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523EC8" w:rsidRPr="00B8684A" w:rsidRDefault="00523EC8" w:rsidP="00523EC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23EC8" w:rsidRDefault="00523EC8" w:rsidP="00523EC8">
            <w:pPr>
              <w:jc w:val="center"/>
              <w:rPr>
                <w:rFonts w:asciiTheme="minorHAnsi" w:hAnsiTheme="minorHAnsi"/>
                <w:sz w:val="20"/>
              </w:rPr>
            </w:pPr>
            <w:bookmarkStart w:id="1" w:name="_GoBack"/>
            <w:bookmarkEnd w:id="1"/>
          </w:p>
          <w:tbl>
            <w:tblPr>
              <w:tblStyle w:val="TableGrid"/>
              <w:tblW w:w="5055" w:type="dxa"/>
              <w:tblLook w:val="04A0" w:firstRow="1" w:lastRow="0" w:firstColumn="1" w:lastColumn="0" w:noHBand="0" w:noVBand="1"/>
            </w:tblPr>
            <w:tblGrid>
              <w:gridCol w:w="2167"/>
              <w:gridCol w:w="722"/>
              <w:gridCol w:w="722"/>
              <w:gridCol w:w="722"/>
              <w:gridCol w:w="722"/>
            </w:tblGrid>
            <w:tr w:rsidR="00523EC8" w:rsidTr="00523EC8">
              <w:tc>
                <w:tcPr>
                  <w:tcW w:w="2167" w:type="dxa"/>
                </w:tcPr>
                <w:p w:rsidR="00523EC8" w:rsidRDefault="00523EC8" w:rsidP="00523EC8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</w:tcPr>
                <w:p w:rsidR="00523EC8" w:rsidRDefault="00523EC8" w:rsidP="00523EC8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22" w:type="dxa"/>
                </w:tcPr>
                <w:p w:rsidR="00523EC8" w:rsidRDefault="00523EC8" w:rsidP="00523EC8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22" w:type="dxa"/>
                </w:tcPr>
                <w:p w:rsidR="00523EC8" w:rsidRDefault="00523EC8" w:rsidP="00523EC8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22" w:type="dxa"/>
                </w:tcPr>
                <w:p w:rsidR="00523EC8" w:rsidRPr="00523EC8" w:rsidRDefault="00523EC8" w:rsidP="00523EC8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0"/>
                      <w:szCs w:val="20"/>
                    </w:rPr>
                  </w:pPr>
                  <w:r w:rsidRPr="009113E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2019</w:t>
                  </w:r>
                </w:p>
              </w:tc>
            </w:tr>
            <w:tr w:rsidR="00523EC8" w:rsidTr="00523EC8">
              <w:tc>
                <w:tcPr>
                  <w:tcW w:w="2167" w:type="dxa"/>
                </w:tcPr>
                <w:p w:rsidR="00523EC8" w:rsidRDefault="00523EC8" w:rsidP="00523EC8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Coverage of superfast broadband, premises</w:t>
                  </w:r>
                </w:p>
              </w:tc>
              <w:tc>
                <w:tcPr>
                  <w:tcW w:w="722" w:type="dxa"/>
                  <w:vAlign w:val="center"/>
                </w:tcPr>
                <w:p w:rsidR="00523EC8" w:rsidRPr="00E313E1" w:rsidRDefault="00523EC8" w:rsidP="00523E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83%</w:t>
                  </w:r>
                </w:p>
              </w:tc>
              <w:tc>
                <w:tcPr>
                  <w:tcW w:w="722" w:type="dxa"/>
                  <w:vAlign w:val="center"/>
                </w:tcPr>
                <w:p w:rsidR="00523EC8" w:rsidRDefault="00523EC8" w:rsidP="00523E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722" w:type="dxa"/>
                  <w:vAlign w:val="center"/>
                </w:tcPr>
                <w:p w:rsidR="00523EC8" w:rsidRDefault="00523EC8" w:rsidP="00523EC8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722" w:type="dxa"/>
                </w:tcPr>
                <w:p w:rsidR="00523EC8" w:rsidRPr="00523EC8" w:rsidRDefault="009113EE" w:rsidP="009113EE">
                  <w:pPr>
                    <w:spacing w:before="120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89%</w:t>
                  </w:r>
                </w:p>
              </w:tc>
            </w:tr>
          </w:tbl>
          <w:p w:rsidR="00523EC8" w:rsidRDefault="00523EC8" w:rsidP="00523E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23EC8" w:rsidRPr="00B8684A" w:rsidRDefault="00523EC8" w:rsidP="00523EC8">
            <w:pPr>
              <w:jc w:val="center"/>
              <w:rPr>
                <w:rFonts w:asciiTheme="minorHAnsi" w:hAnsiTheme="minorHAnsi"/>
                <w:sz w:val="20"/>
                <w:highlight w:val="yellow"/>
              </w:rPr>
            </w:pPr>
          </w:p>
          <w:p w:rsidR="00523EC8" w:rsidRPr="00B8684A" w:rsidRDefault="00523EC8" w:rsidP="00523EC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523EC8" w:rsidRPr="008F671D" w:rsidTr="00952736">
        <w:trPr>
          <w:trHeight w:val="68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23EC8" w:rsidRPr="00345E2E" w:rsidRDefault="00523EC8" w:rsidP="00523EC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523EC8" w:rsidRPr="00345E2E" w:rsidRDefault="00523EC8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29" w:type="dxa"/>
            <w:gridSpan w:val="2"/>
            <w:vAlign w:val="center"/>
          </w:tcPr>
          <w:p w:rsidR="00523EC8" w:rsidRPr="008D0091" w:rsidRDefault="00523EC8" w:rsidP="00523EC8">
            <w:pPr>
              <w:rPr>
                <w:rFonts w:asciiTheme="minorHAnsi" w:hAnsiTheme="minorHAnsi"/>
                <w:sz w:val="20"/>
                <w:szCs w:val="20"/>
              </w:rPr>
            </w:pPr>
            <w:r w:rsidRPr="008D0091">
              <w:rPr>
                <w:rFonts w:asciiTheme="minorHAnsi" w:hAnsiTheme="minorHAnsi"/>
                <w:sz w:val="20"/>
                <w:szCs w:val="20"/>
              </w:rPr>
              <w:t xml:space="preserve">Sample size: </w:t>
            </w: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:rsidR="00523EC8" w:rsidRPr="008F671D" w:rsidRDefault="00523EC8" w:rsidP="00523EC8">
            <w:pPr>
              <w:rPr>
                <w:rFonts w:asciiTheme="minorHAnsi" w:hAnsiTheme="minorHAnsi"/>
                <w:sz w:val="20"/>
              </w:rPr>
            </w:pPr>
            <w:r w:rsidRPr="008D0091">
              <w:rPr>
                <w:rFonts w:asciiTheme="minorHAnsi" w:hAnsiTheme="minorHAnsi"/>
                <w:sz w:val="20"/>
                <w:szCs w:val="20"/>
              </w:rPr>
              <w:t xml:space="preserve">Confidence interval: </w:t>
            </w: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523EC8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23EC8" w:rsidRPr="008F671D" w:rsidRDefault="00523EC8" w:rsidP="00523EC8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</w:t>
            </w:r>
            <w:proofErr w:type="spellStart"/>
            <w:r w:rsidRPr="008F671D">
              <w:rPr>
                <w:rFonts w:asciiTheme="minorHAnsi" w:hAnsiTheme="minorHAnsi"/>
                <w:b/>
                <w:sz w:val="20"/>
              </w:rPr>
              <w:t>RoI</w:t>
            </w:r>
            <w:proofErr w:type="spellEnd"/>
            <w:r w:rsidRPr="008F671D">
              <w:rPr>
                <w:rFonts w:asciiTheme="minorHAnsi" w:hAnsiTheme="minorHAnsi"/>
                <w:b/>
                <w:sz w:val="20"/>
              </w:rPr>
              <w:t>/International Comparisons are available:</w:t>
            </w:r>
          </w:p>
        </w:tc>
        <w:tc>
          <w:tcPr>
            <w:tcW w:w="7229" w:type="dxa"/>
            <w:gridSpan w:val="2"/>
            <w:vAlign w:val="center"/>
          </w:tcPr>
          <w:p w:rsidR="00523EC8" w:rsidRPr="008D0091" w:rsidRDefault="00523EC8" w:rsidP="00523EC8">
            <w:pPr>
              <w:rPr>
                <w:rFonts w:asciiTheme="minorHAnsi" w:hAnsiTheme="minorHAnsi"/>
                <w:sz w:val="20"/>
                <w:szCs w:val="20"/>
              </w:rPr>
            </w:pPr>
            <w:r w:rsidRPr="008D0091">
              <w:rPr>
                <w:rFonts w:asciiTheme="minorHAnsi" w:hAnsiTheme="minorHAnsi"/>
                <w:sz w:val="20"/>
                <w:szCs w:val="20"/>
              </w:rPr>
              <w:t xml:space="preserve">UK: 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D0091">
              <w:rPr>
                <w:rFonts w:asciiTheme="minorHAnsi" w:hAnsiTheme="minorHAnsi"/>
                <w:sz w:val="20"/>
                <w:szCs w:val="20"/>
              </w:rPr>
              <w:t>es</w:t>
            </w:r>
          </w:p>
          <w:p w:rsidR="00523EC8" w:rsidRPr="008D0091" w:rsidRDefault="00523EC8" w:rsidP="00523EC8">
            <w:pPr>
              <w:rPr>
                <w:rFonts w:asciiTheme="minorHAnsi" w:hAnsiTheme="minorHAnsi"/>
                <w:sz w:val="20"/>
                <w:szCs w:val="20"/>
              </w:rPr>
            </w:pPr>
            <w:r w:rsidRPr="008D0091">
              <w:rPr>
                <w:rFonts w:asciiTheme="minorHAnsi" w:hAnsiTheme="minorHAnsi"/>
                <w:sz w:val="20"/>
                <w:szCs w:val="20"/>
              </w:rPr>
              <w:t xml:space="preserve">UK Regional: 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8D0091">
              <w:rPr>
                <w:rFonts w:asciiTheme="minorHAnsi" w:hAnsiTheme="minorHAnsi"/>
                <w:sz w:val="20"/>
                <w:szCs w:val="20"/>
              </w:rPr>
              <w:t>es</w:t>
            </w:r>
          </w:p>
          <w:p w:rsidR="00523EC8" w:rsidRPr="008D0091" w:rsidRDefault="00523EC8" w:rsidP="00523EC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D0091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8D009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:rsidR="00523EC8" w:rsidRDefault="00523EC8" w:rsidP="00523EC8">
            <w:pPr>
              <w:rPr>
                <w:rFonts w:asciiTheme="minorHAnsi" w:hAnsiTheme="minorHAnsi"/>
                <w:sz w:val="20"/>
              </w:rPr>
            </w:pPr>
            <w:r w:rsidRPr="008D0091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:rsidR="00523EC8" w:rsidRPr="008F671D" w:rsidRDefault="00523EC8" w:rsidP="00523EC8">
            <w:pPr>
              <w:rPr>
                <w:rFonts w:asciiTheme="minorHAnsi" w:hAnsiTheme="minorHAnsi"/>
                <w:sz w:val="20"/>
              </w:rPr>
            </w:pPr>
          </w:p>
        </w:tc>
      </w:tr>
      <w:tr w:rsidR="00523EC8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23EC8" w:rsidRPr="008F671D" w:rsidRDefault="00523EC8" w:rsidP="00523EC8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 any</w:t>
            </w:r>
            <w:r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>
              <w:rPr>
                <w:rFonts w:asciiTheme="minorHAnsi" w:hAnsiTheme="minorHAnsi"/>
                <w:b/>
                <w:sz w:val="20"/>
              </w:rPr>
              <w:t>, any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7229" w:type="dxa"/>
            <w:gridSpan w:val="2"/>
            <w:vAlign w:val="center"/>
          </w:tcPr>
          <w:p w:rsidR="00523EC8" w:rsidRPr="008F671D" w:rsidRDefault="00B31578" w:rsidP="00B31578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 xml:space="preserve">Methodological improvements to the identification of premises </w:t>
            </w:r>
            <w:r w:rsidR="00DB27DF">
              <w:rPr>
                <w:rFonts w:asciiTheme="minorHAnsi" w:hAnsiTheme="minorHAnsi"/>
                <w:sz w:val="20"/>
              </w:rPr>
              <w:t xml:space="preserve">and to changes in address matching </w:t>
            </w:r>
            <w:r w:rsidRPr="00B31578">
              <w:rPr>
                <w:rFonts w:asciiTheme="minorHAnsi" w:hAnsiTheme="minorHAnsi"/>
                <w:sz w:val="20"/>
              </w:rPr>
              <w:t xml:space="preserve">resulted in an increase in premises identified in the UK from 29.7m to 30.8m referred to as the Service Delivery Address. Further details can be found at: </w:t>
            </w:r>
            <w:hyperlink r:id="rId9" w:history="1">
              <w:r w:rsidRPr="00B31578">
                <w:rPr>
                  <w:rStyle w:val="Hyperlink"/>
                  <w:rFonts w:asciiTheme="minorHAnsi" w:hAnsiTheme="minorHAnsi"/>
                  <w:color w:val="auto"/>
                  <w:sz w:val="20"/>
                </w:rPr>
                <w:t>https://www.ofcom.org.uk/__data/assets/pdf_file/0021/186411/connected-nations-2019-methodology.pdf</w:t>
              </w:r>
            </w:hyperlink>
            <w:r w:rsidRPr="00B3157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523EC8" w:rsidRPr="008F671D" w:rsidTr="008F671D">
        <w:trPr>
          <w:trHeight w:val="340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523EC8" w:rsidRPr="00907690" w:rsidRDefault="00523EC8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1418" w:type="dxa"/>
          </w:tcPr>
          <w:p w:rsidR="00523EC8" w:rsidRPr="00523EC8" w:rsidRDefault="00B31578" w:rsidP="00523EC8">
            <w:pPr>
              <w:rPr>
                <w:rFonts w:asciiTheme="minorHAnsi" w:hAnsiTheme="minorHAnsi"/>
                <w:color w:val="FF0000"/>
                <w:sz w:val="20"/>
              </w:rPr>
            </w:pPr>
            <w:r w:rsidRPr="00B31578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523EC8" w:rsidRPr="008F671D" w:rsidTr="00FB47D0"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523EC8" w:rsidRPr="00907690" w:rsidRDefault="00523EC8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1418" w:type="dxa"/>
          </w:tcPr>
          <w:p w:rsidR="00523EC8" w:rsidRPr="00523EC8" w:rsidRDefault="00523EC8" w:rsidP="00523EC8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B31578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</w:tbl>
    <w:p w:rsidR="005B441A" w:rsidRDefault="005B441A" w:rsidP="005B441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230" w:type="dxa"/>
          </w:tcPr>
          <w:p w:rsidR="005B441A" w:rsidRPr="00DC13FC" w:rsidRDefault="005B441A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5B441A" w:rsidRPr="00DC13FC" w:rsidRDefault="00523EC8" w:rsidP="00F945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5B441A" w:rsidRPr="00DC13FC" w:rsidTr="005B441A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5B441A" w:rsidRPr="00DC13FC" w:rsidRDefault="00523EC8" w:rsidP="003C44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+/- 1 PPS</w:t>
            </w:r>
          </w:p>
        </w:tc>
      </w:tr>
    </w:tbl>
    <w:p w:rsidR="005B441A" w:rsidRPr="008F671D" w:rsidRDefault="005B441A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F671D" w:rsidTr="00823C0A">
        <w:trPr>
          <w:trHeight w:val="454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823C0A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Yes</w:t>
            </w:r>
          </w:p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Parliamentary Constituency level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A85CFB" w:rsidRPr="00B31578" w:rsidRDefault="00DB27DF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DB27DF" w:rsidRPr="00523EC8" w:rsidRDefault="00DB27DF" w:rsidP="00823C0A">
            <w:pPr>
              <w:rPr>
                <w:rFonts w:asciiTheme="minorHAnsi" w:hAnsiTheme="minorHAnsi"/>
                <w:color w:val="FF0000"/>
                <w:sz w:val="20"/>
              </w:rPr>
            </w:pPr>
            <w:r w:rsidRPr="00DB27DF">
              <w:rPr>
                <w:rFonts w:asciiTheme="minorHAnsi" w:hAnsiTheme="minorHAnsi"/>
                <w:sz w:val="20"/>
              </w:rPr>
              <w:t>Only available for 2019</w:t>
            </w: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A85CFB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A85CFB" w:rsidRPr="00B31578" w:rsidRDefault="00523EC8" w:rsidP="00823C0A">
            <w:pPr>
              <w:rPr>
                <w:rFonts w:asciiTheme="minorHAnsi" w:hAnsiTheme="minorHAnsi"/>
                <w:sz w:val="20"/>
              </w:rPr>
            </w:pPr>
            <w:r w:rsidRPr="00B31578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A85CFB" w:rsidRPr="00523EC8" w:rsidRDefault="00A85CFB" w:rsidP="00823C0A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523EC8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23EC8" w:rsidRPr="004C2627" w:rsidRDefault="00523EC8" w:rsidP="00523E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523EC8" w:rsidRPr="00523EC8" w:rsidRDefault="00D01DAD" w:rsidP="00523EC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Government District</w:t>
            </w:r>
          </w:p>
        </w:tc>
      </w:tr>
    </w:tbl>
    <w:bookmarkEnd w:id="0"/>
    <w:p w:rsidR="00357CC1" w:rsidRPr="00A85CFB" w:rsidRDefault="00A85CFB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A85CFB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52" w:rsidRDefault="00503E52" w:rsidP="008F671D">
      <w:r>
        <w:separator/>
      </w:r>
    </w:p>
  </w:endnote>
  <w:endnote w:type="continuationSeparator" w:id="0">
    <w:p w:rsidR="00503E52" w:rsidRDefault="00503E52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52" w:rsidRDefault="00503E52" w:rsidP="008F671D">
      <w:r>
        <w:separator/>
      </w:r>
    </w:p>
  </w:footnote>
  <w:footnote w:type="continuationSeparator" w:id="0">
    <w:p w:rsidR="00503E52" w:rsidRDefault="00503E52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CC" w:rsidRPr="00E14E8E" w:rsidRDefault="007712C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354"/>
    <w:multiLevelType w:val="hybridMultilevel"/>
    <w:tmpl w:val="3780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200B0"/>
    <w:rsid w:val="000515AB"/>
    <w:rsid w:val="000531B5"/>
    <w:rsid w:val="00060B9C"/>
    <w:rsid w:val="000660A1"/>
    <w:rsid w:val="0006771F"/>
    <w:rsid w:val="0008741F"/>
    <w:rsid w:val="00095AB2"/>
    <w:rsid w:val="000B1BD2"/>
    <w:rsid w:val="000E43D4"/>
    <w:rsid w:val="000E75A3"/>
    <w:rsid w:val="00113C75"/>
    <w:rsid w:val="00127A62"/>
    <w:rsid w:val="001425E1"/>
    <w:rsid w:val="001668A0"/>
    <w:rsid w:val="001849F8"/>
    <w:rsid w:val="001863BB"/>
    <w:rsid w:val="001C2C68"/>
    <w:rsid w:val="001D1AD8"/>
    <w:rsid w:val="001D69FA"/>
    <w:rsid w:val="001F141E"/>
    <w:rsid w:val="002275CC"/>
    <w:rsid w:val="00235BC7"/>
    <w:rsid w:val="00254DA2"/>
    <w:rsid w:val="00282FAE"/>
    <w:rsid w:val="002C160C"/>
    <w:rsid w:val="00316D9E"/>
    <w:rsid w:val="00324526"/>
    <w:rsid w:val="0032479C"/>
    <w:rsid w:val="00331978"/>
    <w:rsid w:val="00341C45"/>
    <w:rsid w:val="00357CC1"/>
    <w:rsid w:val="00357EB0"/>
    <w:rsid w:val="00372264"/>
    <w:rsid w:val="00376AD3"/>
    <w:rsid w:val="00377F2C"/>
    <w:rsid w:val="00397F49"/>
    <w:rsid w:val="003B013B"/>
    <w:rsid w:val="003C1DB6"/>
    <w:rsid w:val="003C4441"/>
    <w:rsid w:val="003D066F"/>
    <w:rsid w:val="003E6FDF"/>
    <w:rsid w:val="003F0FF6"/>
    <w:rsid w:val="003F1D3A"/>
    <w:rsid w:val="003F74DA"/>
    <w:rsid w:val="00404AD8"/>
    <w:rsid w:val="00423C1B"/>
    <w:rsid w:val="00465B3F"/>
    <w:rsid w:val="00490179"/>
    <w:rsid w:val="0049269F"/>
    <w:rsid w:val="004A24D7"/>
    <w:rsid w:val="004D6771"/>
    <w:rsid w:val="00503E52"/>
    <w:rsid w:val="00523EC8"/>
    <w:rsid w:val="00535359"/>
    <w:rsid w:val="00542BC4"/>
    <w:rsid w:val="005A4695"/>
    <w:rsid w:val="005B441A"/>
    <w:rsid w:val="005B69FE"/>
    <w:rsid w:val="005C79AD"/>
    <w:rsid w:val="005E386D"/>
    <w:rsid w:val="005F603B"/>
    <w:rsid w:val="00611CCE"/>
    <w:rsid w:val="006B0988"/>
    <w:rsid w:val="006D6E49"/>
    <w:rsid w:val="007321E3"/>
    <w:rsid w:val="007348B0"/>
    <w:rsid w:val="00735E57"/>
    <w:rsid w:val="00770017"/>
    <w:rsid w:val="007712CC"/>
    <w:rsid w:val="007841CC"/>
    <w:rsid w:val="007D0190"/>
    <w:rsid w:val="007D4CA2"/>
    <w:rsid w:val="00806A6E"/>
    <w:rsid w:val="00823C0A"/>
    <w:rsid w:val="00837F05"/>
    <w:rsid w:val="00882FF5"/>
    <w:rsid w:val="008B6781"/>
    <w:rsid w:val="008F167D"/>
    <w:rsid w:val="008F671D"/>
    <w:rsid w:val="00900676"/>
    <w:rsid w:val="009113EE"/>
    <w:rsid w:val="009373F2"/>
    <w:rsid w:val="0094608E"/>
    <w:rsid w:val="00952736"/>
    <w:rsid w:val="009744B1"/>
    <w:rsid w:val="00977923"/>
    <w:rsid w:val="00980EC4"/>
    <w:rsid w:val="009C1900"/>
    <w:rsid w:val="009C41FB"/>
    <w:rsid w:val="00A0388B"/>
    <w:rsid w:val="00A422E3"/>
    <w:rsid w:val="00A42C48"/>
    <w:rsid w:val="00A42FCB"/>
    <w:rsid w:val="00A4566B"/>
    <w:rsid w:val="00A535C2"/>
    <w:rsid w:val="00A71F94"/>
    <w:rsid w:val="00A85CFB"/>
    <w:rsid w:val="00AA3C83"/>
    <w:rsid w:val="00AE2092"/>
    <w:rsid w:val="00AE6B78"/>
    <w:rsid w:val="00AF7E1A"/>
    <w:rsid w:val="00B151E2"/>
    <w:rsid w:val="00B31578"/>
    <w:rsid w:val="00B31E51"/>
    <w:rsid w:val="00B6370C"/>
    <w:rsid w:val="00B8684A"/>
    <w:rsid w:val="00BD4124"/>
    <w:rsid w:val="00C305E8"/>
    <w:rsid w:val="00C5024A"/>
    <w:rsid w:val="00C50CB4"/>
    <w:rsid w:val="00C95F71"/>
    <w:rsid w:val="00CA12E6"/>
    <w:rsid w:val="00CC4122"/>
    <w:rsid w:val="00CC548C"/>
    <w:rsid w:val="00CD441C"/>
    <w:rsid w:val="00CE3F7A"/>
    <w:rsid w:val="00D01DAD"/>
    <w:rsid w:val="00D172FC"/>
    <w:rsid w:val="00DB27DF"/>
    <w:rsid w:val="00DB2A18"/>
    <w:rsid w:val="00E14E8E"/>
    <w:rsid w:val="00E5374D"/>
    <w:rsid w:val="00E64CD3"/>
    <w:rsid w:val="00ED6FEE"/>
    <w:rsid w:val="00EF2DD6"/>
    <w:rsid w:val="00EF610E"/>
    <w:rsid w:val="00F16D3B"/>
    <w:rsid w:val="00F2310C"/>
    <w:rsid w:val="00F35BC1"/>
    <w:rsid w:val="00F47F63"/>
    <w:rsid w:val="00F778CC"/>
    <w:rsid w:val="00F81E8B"/>
    <w:rsid w:val="00FA749E"/>
    <w:rsid w:val="00FB47D0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0A58-AAAD-4B2E-BDB7-B24D69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2CC"/>
    <w:rPr>
      <w:color w:val="800080" w:themeColor="followedHyperlink"/>
      <w:u w:val="single"/>
    </w:rPr>
  </w:style>
  <w:style w:type="character" w:customStyle="1" w:styleId="A5">
    <w:name w:val="A5"/>
    <w:uiPriority w:val="99"/>
    <w:rsid w:val="007712CC"/>
    <w:rPr>
      <w:rFonts w:cs="Myriad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AB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37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com.org.uk/research-and-data/multi-sector-research/infrastructure-research/connected-nations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fcom.org.uk/__data/assets/pdf_file/0021/186411/connected-nations-2019-methodolo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A693-7262-4B34-B3A1-F81030E8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Alan McClelland</cp:lastModifiedBy>
  <cp:revision>9</cp:revision>
  <cp:lastPrinted>2016-04-11T13:16:00Z</cp:lastPrinted>
  <dcterms:created xsi:type="dcterms:W3CDTF">2019-06-10T10:07:00Z</dcterms:created>
  <dcterms:modified xsi:type="dcterms:W3CDTF">2020-01-08T15:32:00Z</dcterms:modified>
</cp:coreProperties>
</file>