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631A3A" w:rsidRPr="003A6A23" w:rsidTr="007F5A53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31A3A" w:rsidRPr="003A6A23" w:rsidRDefault="00631A3A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D86F9F">
              <w:rPr>
                <w:rFonts w:asciiTheme="minorHAnsi" w:hAnsiTheme="minorHAnsi"/>
                <w:b/>
                <w:sz w:val="20"/>
                <w:szCs w:val="20"/>
              </w:rPr>
              <w:t xml:space="preserve"> 20</w:t>
            </w: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631A3A" w:rsidRPr="003F6B6D" w:rsidRDefault="000E4663" w:rsidP="003A6A23">
            <w:pPr>
              <w:spacing w:before="100" w:after="10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6B6D">
              <w:rPr>
                <w:rFonts w:asciiTheme="minorHAnsi" w:hAnsiTheme="minorHAnsi" w:cs="Arial"/>
                <w:b/>
                <w:sz w:val="20"/>
                <w:szCs w:val="20"/>
              </w:rPr>
              <w:t>Private Sector NICEI</w:t>
            </w:r>
          </w:p>
        </w:tc>
      </w:tr>
    </w:tbl>
    <w:p w:rsidR="00902932" w:rsidRPr="003A6A23" w:rsidRDefault="00902932" w:rsidP="0090293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FB644B" w:rsidRPr="003A6A23" w:rsidTr="007F5A53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B644B" w:rsidRPr="00345E2E" w:rsidRDefault="00FB644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FB644B" w:rsidRPr="003A6A23" w:rsidRDefault="0014426A" w:rsidP="001442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Gerard Colgan</w:t>
            </w:r>
            <w:r w:rsidR="00FB644B" w:rsidRPr="003A6A23">
              <w:rPr>
                <w:rFonts w:asciiTheme="minorHAnsi" w:hAnsiTheme="minorHAnsi"/>
                <w:sz w:val="20"/>
                <w:szCs w:val="20"/>
              </w:rPr>
              <w:t>, Department of Finance</w:t>
            </w:r>
          </w:p>
        </w:tc>
      </w:tr>
      <w:tr w:rsidR="00FB644B" w:rsidRPr="003A6A23" w:rsidTr="007F5A53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B644B" w:rsidRPr="00345E2E" w:rsidRDefault="00FB644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vAlign w:val="center"/>
          </w:tcPr>
          <w:p w:rsidR="00FB644B" w:rsidRPr="003A6A23" w:rsidRDefault="00915B7F" w:rsidP="00146D38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146D38" w:rsidRPr="00146D3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https://www.nisra.gov.uk/statistics/economic-output-statistics/ni-composite-economic-index</w:t>
              </w:r>
            </w:hyperlink>
          </w:p>
        </w:tc>
      </w:tr>
      <w:tr w:rsidR="00FB644B" w:rsidRPr="003A6A23" w:rsidTr="007F5A53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B644B" w:rsidRPr="00345E2E" w:rsidRDefault="00FB644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FB644B" w:rsidRPr="003A6A23" w:rsidRDefault="00836278" w:rsidP="00C868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  <w:r w:rsidR="00C8682F">
              <w:rPr>
                <w:rFonts w:asciiTheme="minorHAnsi" w:hAnsiTheme="minorHAnsi"/>
                <w:sz w:val="20"/>
                <w:szCs w:val="20"/>
              </w:rPr>
              <w:t xml:space="preserve"> (Quarterly figures are also available at the link above)</w:t>
            </w:r>
          </w:p>
        </w:tc>
      </w:tr>
      <w:tr w:rsidR="00FB644B" w:rsidRPr="003A6A23" w:rsidTr="007F5A53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B644B" w:rsidRPr="00345E2E" w:rsidRDefault="00FB644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FB644B" w:rsidRPr="003A6A23" w:rsidRDefault="00836278" w:rsidP="00836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Figures are published on a quarterly basis, annual figures are available a</w:t>
            </w:r>
            <w:r w:rsidR="00FB644B" w:rsidRPr="003A6A23">
              <w:rPr>
                <w:rFonts w:asciiTheme="minorHAnsi" w:hAnsiTheme="minorHAnsi"/>
                <w:sz w:val="20"/>
                <w:szCs w:val="20"/>
              </w:rPr>
              <w:t xml:space="preserve">pproximately 14 weeks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after the end of the </w:t>
            </w:r>
            <w:r w:rsidR="00FB644B" w:rsidRPr="003A6A23">
              <w:rPr>
                <w:rFonts w:asciiTheme="minorHAnsi" w:hAnsiTheme="minorHAnsi"/>
                <w:sz w:val="20"/>
                <w:szCs w:val="20"/>
              </w:rPr>
              <w:t xml:space="preserve">October – December </w:t>
            </w:r>
            <w:r>
              <w:rPr>
                <w:rFonts w:asciiTheme="minorHAnsi" w:hAnsiTheme="minorHAnsi"/>
                <w:sz w:val="20"/>
                <w:szCs w:val="20"/>
              </w:rPr>
              <w:t>quarter</w:t>
            </w:r>
            <w:r w:rsidR="00FB644B" w:rsidRPr="003A6A23">
              <w:rPr>
                <w:rFonts w:asciiTheme="minorHAnsi" w:hAnsiTheme="minorHAnsi"/>
                <w:sz w:val="20"/>
                <w:szCs w:val="20"/>
              </w:rPr>
              <w:t xml:space="preserve"> in April</w:t>
            </w:r>
          </w:p>
        </w:tc>
      </w:tr>
      <w:tr w:rsidR="00FB644B" w:rsidRPr="003A6A23" w:rsidTr="007F5A53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B644B" w:rsidRPr="00345E2E" w:rsidRDefault="00FB644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FB644B" w:rsidRPr="003A6A23" w:rsidRDefault="00FB644B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Survey – Index of Services, Index of Production, Quarterly Construction data, Quarterly Employment Survey, Labour Force Survey</w:t>
            </w:r>
          </w:p>
          <w:p w:rsidR="00FB644B" w:rsidRPr="003A6A23" w:rsidRDefault="00FB644B" w:rsidP="0004118D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Administrative – Agricultural output data from DA</w:t>
            </w:r>
            <w:r w:rsidR="0004118D">
              <w:rPr>
                <w:rFonts w:asciiTheme="minorHAnsi" w:hAnsiTheme="minorHAnsi"/>
                <w:sz w:val="20"/>
                <w:szCs w:val="20"/>
              </w:rPr>
              <w:t>E</w:t>
            </w:r>
            <w:r w:rsidRPr="003A6A23">
              <w:rPr>
                <w:rFonts w:asciiTheme="minorHAnsi" w:hAnsiTheme="minorHAnsi"/>
                <w:sz w:val="20"/>
                <w:szCs w:val="20"/>
              </w:rPr>
              <w:t>R</w:t>
            </w:r>
            <w:r w:rsidR="0004118D">
              <w:rPr>
                <w:rFonts w:asciiTheme="minorHAnsi" w:hAnsiTheme="minorHAnsi"/>
                <w:sz w:val="20"/>
                <w:szCs w:val="20"/>
              </w:rPr>
              <w:t>A</w:t>
            </w:r>
            <w:r w:rsidRPr="003A6A23">
              <w:rPr>
                <w:rFonts w:asciiTheme="minorHAnsi" w:hAnsiTheme="minorHAnsi"/>
                <w:sz w:val="20"/>
                <w:szCs w:val="20"/>
              </w:rPr>
              <w:t xml:space="preserve"> (not published)</w:t>
            </w:r>
          </w:p>
        </w:tc>
      </w:tr>
      <w:tr w:rsidR="00FB644B" w:rsidRPr="003A6A23" w:rsidTr="007F5A53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B644B" w:rsidRPr="00345E2E" w:rsidRDefault="00FB644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371" w:type="dxa"/>
            <w:vAlign w:val="center"/>
          </w:tcPr>
          <w:p w:rsidR="00FB644B" w:rsidRPr="003A6A23" w:rsidRDefault="00A17EAB" w:rsidP="003A6A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  <w:r w:rsidR="00FB644B" w:rsidRPr="003A6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B644B" w:rsidRPr="003A6A23" w:rsidTr="007F5A53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B644B" w:rsidRPr="00345E2E" w:rsidRDefault="00FB644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FB644B" w:rsidRPr="003A6A23" w:rsidRDefault="00FB644B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FB644B" w:rsidRPr="003A6A23" w:rsidTr="007F5A53">
        <w:trPr>
          <w:trHeight w:val="323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B644B" w:rsidRPr="00345E2E" w:rsidRDefault="00FB644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FB644B" w:rsidRPr="003A6A23" w:rsidRDefault="00FB644B" w:rsidP="00FF7CC8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200</w:t>
            </w:r>
            <w:r w:rsidR="00FF7CC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FB644B" w:rsidRPr="003A6A23" w:rsidTr="00C8682F">
        <w:trPr>
          <w:trHeight w:val="491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B644B" w:rsidRPr="00345E2E" w:rsidRDefault="00FB644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FB644B" w:rsidRPr="00345E2E" w:rsidRDefault="00FB644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44B" w:rsidRPr="00345E2E" w:rsidRDefault="00FB644B" w:rsidP="001E69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86450C" w:rsidRDefault="0086450C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Private Sector NICEI (Base year 201</w:t>
            </w:r>
            <w:r w:rsidR="00F908F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=100)</w:t>
            </w:r>
          </w:p>
          <w:p w:rsidR="00836278" w:rsidRDefault="00836278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1601" w:type="dxa"/>
              <w:tblLook w:val="04A0" w:firstRow="1" w:lastRow="0" w:firstColumn="1" w:lastColumn="0" w:noHBand="0" w:noVBand="1"/>
            </w:tblPr>
            <w:tblGrid>
              <w:gridCol w:w="773"/>
              <w:gridCol w:w="828"/>
            </w:tblGrid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2006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D804B5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105.3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2007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D804B5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106.4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2008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103.5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2009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D804B5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97.7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D804B5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96.3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2011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95.0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2012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D804B5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93.6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2013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93.3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2014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D804B5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94.7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D804B5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97.1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100.0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D804B5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100.4</w:t>
                  </w:r>
                </w:p>
              </w:tc>
            </w:tr>
            <w:tr w:rsidR="00C14190" w:rsidRPr="00C14190" w:rsidTr="00C14190">
              <w:trPr>
                <w:trHeight w:val="25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C14190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C1419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190" w:rsidRPr="00C14190" w:rsidRDefault="00D804B5" w:rsidP="00C141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101.8</w:t>
                  </w:r>
                </w:p>
              </w:tc>
            </w:tr>
          </w:tbl>
          <w:p w:rsidR="00C14190" w:rsidRPr="0086450C" w:rsidRDefault="00C14190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44B" w:rsidRDefault="0086450C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836278">
              <w:rPr>
                <w:rFonts w:asciiTheme="minorHAnsi" w:hAnsiTheme="minorHAnsi"/>
                <w:sz w:val="20"/>
                <w:szCs w:val="20"/>
              </w:rPr>
              <w:t>Detailed</w:t>
            </w:r>
            <w:r w:rsidR="00836278" w:rsidRPr="00836278">
              <w:rPr>
                <w:rFonts w:asciiTheme="minorHAnsi" w:hAnsiTheme="minorHAnsi"/>
                <w:sz w:val="20"/>
                <w:szCs w:val="20"/>
              </w:rPr>
              <w:t xml:space="preserve"> quarterly</w:t>
            </w:r>
            <w:r w:rsidRPr="00836278">
              <w:rPr>
                <w:rFonts w:asciiTheme="minorHAnsi" w:hAnsiTheme="minorHAnsi"/>
                <w:sz w:val="20"/>
                <w:szCs w:val="20"/>
              </w:rPr>
              <w:t xml:space="preserve"> t</w:t>
            </w:r>
            <w:r w:rsidR="00FB644B" w:rsidRPr="00836278">
              <w:rPr>
                <w:rFonts w:asciiTheme="minorHAnsi" w:hAnsiTheme="minorHAnsi"/>
                <w:sz w:val="20"/>
                <w:szCs w:val="20"/>
              </w:rPr>
              <w:t>ime series back to 200</w:t>
            </w:r>
            <w:r w:rsidR="00983AED">
              <w:rPr>
                <w:rFonts w:asciiTheme="minorHAnsi" w:hAnsiTheme="minorHAnsi"/>
                <w:sz w:val="20"/>
                <w:szCs w:val="20"/>
              </w:rPr>
              <w:t>6</w:t>
            </w:r>
            <w:r w:rsidR="00FB644B" w:rsidRPr="00836278">
              <w:rPr>
                <w:rFonts w:asciiTheme="minorHAnsi" w:hAnsiTheme="minorHAnsi"/>
                <w:sz w:val="20"/>
                <w:szCs w:val="20"/>
              </w:rPr>
              <w:t xml:space="preserve"> available at:</w:t>
            </w:r>
          </w:p>
          <w:p w:rsidR="00836278" w:rsidRPr="003A6A23" w:rsidRDefault="00915B7F" w:rsidP="00C14190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D623EB" w:rsidRPr="007B0D1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https://www.nisra.gov.uk/system/files/statistics/NICEI-Tables-Q2-2019.xlsx</w:t>
              </w:r>
            </w:hyperlink>
          </w:p>
        </w:tc>
      </w:tr>
      <w:tr w:rsidR="00902932" w:rsidRPr="003A6A23" w:rsidTr="007F5A53">
        <w:trPr>
          <w:trHeight w:val="55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Please provide sample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Sample size:</w:t>
            </w:r>
            <w:r w:rsidR="00DC1C64" w:rsidRPr="003A6A23">
              <w:rPr>
                <w:rFonts w:asciiTheme="minorHAnsi" w:hAnsiTheme="minorHAnsi"/>
                <w:sz w:val="20"/>
                <w:szCs w:val="20"/>
              </w:rPr>
              <w:tab/>
            </w:r>
            <w:r w:rsidR="00DC1C64" w:rsidRPr="003A6A23">
              <w:rPr>
                <w:rFonts w:asciiTheme="minorHAnsi" w:hAnsiTheme="minorHAnsi"/>
                <w:sz w:val="20"/>
                <w:szCs w:val="20"/>
              </w:rPr>
              <w:tab/>
              <w:t>N/A</w:t>
            </w:r>
          </w:p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Confidence interval:</w:t>
            </w:r>
            <w:r w:rsidR="00DC1C64" w:rsidRPr="003A6A23">
              <w:rPr>
                <w:rFonts w:asciiTheme="minorHAnsi" w:hAnsiTheme="minorHAnsi"/>
                <w:sz w:val="20"/>
                <w:szCs w:val="20"/>
              </w:rPr>
              <w:tab/>
              <w:t>N/A</w:t>
            </w:r>
          </w:p>
        </w:tc>
      </w:tr>
      <w:tr w:rsidR="00902932" w:rsidRPr="003A6A23" w:rsidTr="007F5A53">
        <w:trPr>
          <w:trHeight w:val="100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Please indicate whether UK/</w:t>
            </w:r>
            <w:proofErr w:type="spellStart"/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RoI</w:t>
            </w:r>
            <w:proofErr w:type="spellEnd"/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/International Comparisons are available:</w:t>
            </w:r>
          </w:p>
        </w:tc>
        <w:tc>
          <w:tcPr>
            <w:tcW w:w="7371" w:type="dxa"/>
            <w:vAlign w:val="center"/>
          </w:tcPr>
          <w:p w:rsidR="00D37393" w:rsidRPr="003A6A23" w:rsidRDefault="00D37393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 comparators for NICEI private sector, however at the overall NICEI level the following are available:</w:t>
            </w:r>
          </w:p>
          <w:p w:rsidR="00902932" w:rsidRPr="003A6A23" w:rsidRDefault="0067769F" w:rsidP="003A6A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UK: </w:t>
            </w:r>
            <w:r w:rsidR="00D37393" w:rsidRPr="003A6A23">
              <w:rPr>
                <w:rFonts w:asciiTheme="minorHAnsi" w:hAnsiTheme="minorHAnsi"/>
                <w:sz w:val="20"/>
                <w:szCs w:val="20"/>
              </w:rPr>
              <w:t>Yes</w:t>
            </w:r>
            <w:r w:rsidR="0086450C">
              <w:rPr>
                <w:rFonts w:asciiTheme="minorHAnsi" w:hAnsiTheme="minorHAnsi"/>
                <w:sz w:val="20"/>
                <w:szCs w:val="20"/>
              </w:rPr>
              <w:t xml:space="preserve">,  </w:t>
            </w:r>
            <w:r w:rsidR="00D37393" w:rsidRPr="003A6A23">
              <w:rPr>
                <w:rFonts w:asciiTheme="minorHAnsi" w:hAnsiTheme="minorHAnsi"/>
                <w:sz w:val="20"/>
                <w:szCs w:val="20"/>
              </w:rPr>
              <w:t>UK Region</w:t>
            </w:r>
            <w:r w:rsidR="005C1EF4">
              <w:rPr>
                <w:rFonts w:asciiTheme="minorHAnsi" w:hAnsiTheme="minorHAnsi"/>
                <w:sz w:val="20"/>
                <w:szCs w:val="20"/>
              </w:rPr>
              <w:t>al</w:t>
            </w:r>
            <w:r w:rsidR="00D37393" w:rsidRPr="003A6A23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1EF4">
              <w:rPr>
                <w:rFonts w:asciiTheme="minorHAnsi" w:hAnsiTheme="minorHAnsi"/>
                <w:sz w:val="20"/>
                <w:szCs w:val="20"/>
              </w:rPr>
              <w:t xml:space="preserve">Yes, </w:t>
            </w:r>
          </w:p>
          <w:p w:rsidR="00902932" w:rsidRPr="003A6A23" w:rsidRDefault="00D37393" w:rsidP="0086450C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ROI:</w:t>
            </w:r>
            <w:r w:rsidR="006776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A6A23">
              <w:rPr>
                <w:rFonts w:asciiTheme="minorHAnsi" w:hAnsiTheme="minorHAnsi"/>
                <w:sz w:val="20"/>
                <w:szCs w:val="20"/>
              </w:rPr>
              <w:t>Yes</w:t>
            </w:r>
            <w:r w:rsidR="0086450C">
              <w:rPr>
                <w:rFonts w:asciiTheme="minorHAnsi" w:hAnsiTheme="minorHAnsi"/>
                <w:sz w:val="20"/>
                <w:szCs w:val="20"/>
              </w:rPr>
              <w:t xml:space="preserve">,  </w:t>
            </w:r>
            <w:r w:rsidRPr="003A6A23">
              <w:rPr>
                <w:rFonts w:asciiTheme="minorHAnsi" w:hAnsiTheme="minorHAnsi"/>
                <w:sz w:val="20"/>
                <w:szCs w:val="20"/>
              </w:rPr>
              <w:t xml:space="preserve">International (Please Specify Countries): </w:t>
            </w:r>
            <w:r w:rsidR="006776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A6A23">
              <w:rPr>
                <w:rFonts w:asciiTheme="minorHAnsi" w:hAnsiTheme="minorHAnsi"/>
                <w:sz w:val="20"/>
                <w:szCs w:val="20"/>
              </w:rPr>
              <w:t>NICEI comparative to GDP</w:t>
            </w:r>
          </w:p>
        </w:tc>
      </w:tr>
      <w:tr w:rsidR="00902932" w:rsidRPr="003A6A23" w:rsidTr="007F5A53">
        <w:trPr>
          <w:trHeight w:val="9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 xml:space="preserve">Please specify any issues in relation to this data. For example, data limitations, future data availability, any changes to methodology </w:t>
            </w:r>
          </w:p>
        </w:tc>
        <w:tc>
          <w:tcPr>
            <w:tcW w:w="7371" w:type="dxa"/>
            <w:vAlign w:val="center"/>
          </w:tcPr>
          <w:p w:rsidR="00902932" w:rsidRPr="003A6A23" w:rsidRDefault="00DC1C64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Investigation into alternative measure of public sector output currently underway</w:t>
            </w:r>
            <w:r w:rsidR="00425870" w:rsidRPr="003A6A23">
              <w:rPr>
                <w:rFonts w:asciiTheme="minorHAnsi" w:hAnsiTheme="minorHAnsi"/>
                <w:sz w:val="20"/>
                <w:szCs w:val="20"/>
              </w:rPr>
              <w:t xml:space="preserve"> to produce a more robust measurement of trends in the public sector. H</w:t>
            </w:r>
            <w:r w:rsidRPr="003A6A23">
              <w:rPr>
                <w:rFonts w:asciiTheme="minorHAnsi" w:hAnsiTheme="minorHAnsi"/>
                <w:sz w:val="20"/>
                <w:szCs w:val="20"/>
              </w:rPr>
              <w:t>owever the public sector element of the NICEI has no effect on the private sector element as they are weighted using ONS Regional Accounts</w:t>
            </w:r>
            <w:r w:rsidR="00425870" w:rsidRPr="003A6A2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02932" w:rsidRPr="003A6A23" w:rsidTr="007F5A53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371" w:type="dxa"/>
            <w:vAlign w:val="center"/>
          </w:tcPr>
          <w:p w:rsidR="00902932" w:rsidRPr="003A6A23" w:rsidRDefault="00D37393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902932" w:rsidRPr="003A6A23" w:rsidTr="007F5A53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7371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36278" w:rsidRDefault="00836278" w:rsidP="00902932">
      <w:pPr>
        <w:rPr>
          <w:rFonts w:asciiTheme="minorHAnsi" w:hAnsiTheme="minorHAnsi"/>
          <w:sz w:val="20"/>
          <w:szCs w:val="20"/>
        </w:rPr>
      </w:pPr>
    </w:p>
    <w:p w:rsidR="00836278" w:rsidRDefault="00836278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eGrid"/>
        <w:tblW w:w="106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86"/>
        <w:gridCol w:w="7517"/>
      </w:tblGrid>
      <w:tr w:rsidR="00D86F9F" w:rsidRPr="00325837" w:rsidTr="007222F7"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D86F9F" w:rsidRPr="002D4968" w:rsidRDefault="00D86F9F" w:rsidP="007222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Technical Assessment Panel</w:t>
            </w:r>
          </w:p>
        </w:tc>
        <w:tc>
          <w:tcPr>
            <w:tcW w:w="7517" w:type="dxa"/>
            <w:vAlign w:val="center"/>
          </w:tcPr>
          <w:p w:rsidR="00D86F9F" w:rsidRPr="00325837" w:rsidRDefault="00D86F9F" w:rsidP="007222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6F9F" w:rsidRPr="00325837" w:rsidTr="007222F7"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D86F9F" w:rsidRPr="002D4968" w:rsidRDefault="00D86F9F" w:rsidP="007222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517" w:type="dxa"/>
            <w:vAlign w:val="center"/>
          </w:tcPr>
          <w:p w:rsidR="00D86F9F" w:rsidRPr="00325837" w:rsidRDefault="00D86F9F" w:rsidP="007222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D86F9F" w:rsidRPr="00325837" w:rsidTr="007222F7"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D86F9F" w:rsidRPr="002D4968" w:rsidRDefault="00D86F9F" w:rsidP="007222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517" w:type="dxa"/>
            <w:vAlign w:val="center"/>
          </w:tcPr>
          <w:p w:rsidR="00D86F9F" w:rsidRPr="00D86F9F" w:rsidRDefault="00D86F9F" w:rsidP="007222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+/- 0.1 (index score)</w:t>
            </w:r>
            <w:bookmarkStart w:id="0" w:name="_GoBack"/>
            <w:bookmarkEnd w:id="0"/>
          </w:p>
        </w:tc>
      </w:tr>
    </w:tbl>
    <w:p w:rsidR="00902932" w:rsidRDefault="00902932" w:rsidP="00902932">
      <w:pPr>
        <w:rPr>
          <w:rFonts w:asciiTheme="minorHAnsi" w:hAnsiTheme="minorHAnsi"/>
          <w:sz w:val="20"/>
          <w:szCs w:val="20"/>
        </w:rPr>
      </w:pPr>
    </w:p>
    <w:p w:rsidR="00D86F9F" w:rsidRPr="003A6A23" w:rsidRDefault="00D86F9F" w:rsidP="0090293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902932" w:rsidRPr="003A6A23" w:rsidTr="003A6A23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02932" w:rsidRPr="003A6A23" w:rsidRDefault="003A6A23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At NI Level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At Parliamentary Constituency level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04448D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By Deprivation Quintile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 xml:space="preserve">By NISRA Geography Urban/Rural Measure 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Section 75:  Gender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Section 75:  Age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Section 75:  Marital Status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Section 75:  Religion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Section 75:  Political Opinion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Section 75:  Disability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Section 75:  Dependants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Section 75:  Sexual Orientation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Section 75:  Racial Group</w:t>
            </w:r>
          </w:p>
        </w:tc>
        <w:tc>
          <w:tcPr>
            <w:tcW w:w="903" w:type="dxa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932" w:rsidRPr="003A6A23" w:rsidTr="0004118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2932" w:rsidRPr="003A6A23" w:rsidRDefault="00902932" w:rsidP="003A6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A23">
              <w:rPr>
                <w:rFonts w:asciiTheme="minorHAnsi" w:hAnsiTheme="minorHAnsi"/>
                <w:b/>
                <w:sz w:val="20"/>
                <w:szCs w:val="20"/>
              </w:rPr>
              <w:t>Please specify the lowest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902932" w:rsidRPr="003A6A23" w:rsidRDefault="00425870" w:rsidP="003A6A23">
            <w:pPr>
              <w:rPr>
                <w:rFonts w:asciiTheme="minorHAnsi" w:hAnsiTheme="minorHAnsi"/>
                <w:sz w:val="20"/>
                <w:szCs w:val="20"/>
              </w:rPr>
            </w:pPr>
            <w:r w:rsidRPr="003A6A23">
              <w:rPr>
                <w:rFonts w:asciiTheme="minorHAnsi" w:hAnsiTheme="minorHAnsi"/>
                <w:sz w:val="20"/>
                <w:szCs w:val="20"/>
              </w:rPr>
              <w:t>N</w:t>
            </w:r>
            <w:r w:rsidR="0004118D">
              <w:rPr>
                <w:rFonts w:asciiTheme="minorHAnsi" w:hAnsiTheme="minorHAnsi"/>
                <w:sz w:val="20"/>
                <w:szCs w:val="20"/>
              </w:rPr>
              <w:t>orthern Ireland level</w:t>
            </w:r>
          </w:p>
        </w:tc>
      </w:tr>
    </w:tbl>
    <w:p w:rsidR="002A5E91" w:rsidRPr="003A6A23" w:rsidRDefault="003A6A23" w:rsidP="00902932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2A5E91" w:rsidRPr="003A6A23" w:rsidSect="008F67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7F" w:rsidRDefault="00915B7F" w:rsidP="008F671D">
      <w:r>
        <w:separator/>
      </w:r>
    </w:p>
  </w:endnote>
  <w:endnote w:type="continuationSeparator" w:id="0">
    <w:p w:rsidR="00915B7F" w:rsidRDefault="00915B7F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5A" w:rsidRDefault="00CF3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5A" w:rsidRDefault="00CF3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5A" w:rsidRDefault="00CF3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7F" w:rsidRDefault="00915B7F" w:rsidP="008F671D">
      <w:r>
        <w:separator/>
      </w:r>
    </w:p>
  </w:footnote>
  <w:footnote w:type="continuationSeparator" w:id="0">
    <w:p w:rsidR="00915B7F" w:rsidRDefault="00915B7F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5A" w:rsidRDefault="00CF3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13" w:rsidRPr="00E14E8E" w:rsidRDefault="002A5513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CF395A">
      <w:rPr>
        <w:rFonts w:asciiTheme="minorHAnsi" w:hAnsiTheme="minorHAnsi" w:cs="Arial"/>
        <w:b/>
        <w:color w:val="808080" w:themeColor="background1" w:themeShade="80"/>
        <w:sz w:val="28"/>
      </w:rPr>
      <w:t>2021</w:t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31A3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31A3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31A3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31A3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31A3A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5A" w:rsidRDefault="00CF3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326BB"/>
    <w:multiLevelType w:val="hybridMultilevel"/>
    <w:tmpl w:val="4942D086"/>
    <w:lvl w:ilvl="0" w:tplc="30801D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3872"/>
    <w:multiLevelType w:val="hybridMultilevel"/>
    <w:tmpl w:val="392A7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4118D"/>
    <w:rsid w:val="0004448D"/>
    <w:rsid w:val="00046DC7"/>
    <w:rsid w:val="00060918"/>
    <w:rsid w:val="000A6669"/>
    <w:rsid w:val="000B2563"/>
    <w:rsid w:val="000B4FA4"/>
    <w:rsid w:val="000D480C"/>
    <w:rsid w:val="000E3D56"/>
    <w:rsid w:val="000E4663"/>
    <w:rsid w:val="00104142"/>
    <w:rsid w:val="0010628B"/>
    <w:rsid w:val="00131D42"/>
    <w:rsid w:val="0014426A"/>
    <w:rsid w:val="00146D38"/>
    <w:rsid w:val="00164DC4"/>
    <w:rsid w:val="001668A0"/>
    <w:rsid w:val="001849F8"/>
    <w:rsid w:val="001863BB"/>
    <w:rsid w:val="001938A8"/>
    <w:rsid w:val="001A009C"/>
    <w:rsid w:val="001A1501"/>
    <w:rsid w:val="001A3AAF"/>
    <w:rsid w:val="001C2C68"/>
    <w:rsid w:val="001D5BC3"/>
    <w:rsid w:val="001D69FA"/>
    <w:rsid w:val="001F776E"/>
    <w:rsid w:val="00203B9A"/>
    <w:rsid w:val="00254DA2"/>
    <w:rsid w:val="002A5513"/>
    <w:rsid w:val="002A5E91"/>
    <w:rsid w:val="002E1810"/>
    <w:rsid w:val="002F1337"/>
    <w:rsid w:val="00316D9E"/>
    <w:rsid w:val="00317644"/>
    <w:rsid w:val="00333726"/>
    <w:rsid w:val="00341C1E"/>
    <w:rsid w:val="00352BD3"/>
    <w:rsid w:val="00357CC1"/>
    <w:rsid w:val="00361DD5"/>
    <w:rsid w:val="00372264"/>
    <w:rsid w:val="0039007A"/>
    <w:rsid w:val="00397F49"/>
    <w:rsid w:val="003A6A23"/>
    <w:rsid w:val="003E3345"/>
    <w:rsid w:val="003E6935"/>
    <w:rsid w:val="003E6FDF"/>
    <w:rsid w:val="003F504A"/>
    <w:rsid w:val="003F6B6D"/>
    <w:rsid w:val="003F74DA"/>
    <w:rsid w:val="00416C51"/>
    <w:rsid w:val="00425870"/>
    <w:rsid w:val="00441DB8"/>
    <w:rsid w:val="004544D5"/>
    <w:rsid w:val="0046572D"/>
    <w:rsid w:val="00466019"/>
    <w:rsid w:val="00487E34"/>
    <w:rsid w:val="00501BDD"/>
    <w:rsid w:val="00534AAE"/>
    <w:rsid w:val="005A778F"/>
    <w:rsid w:val="005C1EF4"/>
    <w:rsid w:val="005C79AD"/>
    <w:rsid w:val="005F2EA3"/>
    <w:rsid w:val="00606ED2"/>
    <w:rsid w:val="006101E9"/>
    <w:rsid w:val="00631A3A"/>
    <w:rsid w:val="00642F40"/>
    <w:rsid w:val="00653DD6"/>
    <w:rsid w:val="00661DD0"/>
    <w:rsid w:val="0067769F"/>
    <w:rsid w:val="00696124"/>
    <w:rsid w:val="006B0988"/>
    <w:rsid w:val="006B63FE"/>
    <w:rsid w:val="006D6E49"/>
    <w:rsid w:val="00717A57"/>
    <w:rsid w:val="00735E57"/>
    <w:rsid w:val="00744A81"/>
    <w:rsid w:val="00770017"/>
    <w:rsid w:val="0079020E"/>
    <w:rsid w:val="00790AB1"/>
    <w:rsid w:val="007B0EB1"/>
    <w:rsid w:val="007D0190"/>
    <w:rsid w:val="007E4E3C"/>
    <w:rsid w:val="007F0BEB"/>
    <w:rsid w:val="007F5A53"/>
    <w:rsid w:val="00806A6E"/>
    <w:rsid w:val="008248D7"/>
    <w:rsid w:val="00825199"/>
    <w:rsid w:val="00825968"/>
    <w:rsid w:val="00827E91"/>
    <w:rsid w:val="00836278"/>
    <w:rsid w:val="0085499F"/>
    <w:rsid w:val="0086450C"/>
    <w:rsid w:val="008702DF"/>
    <w:rsid w:val="00876F90"/>
    <w:rsid w:val="008B6781"/>
    <w:rsid w:val="008D4C79"/>
    <w:rsid w:val="008F671D"/>
    <w:rsid w:val="00902932"/>
    <w:rsid w:val="00915B7F"/>
    <w:rsid w:val="009253D7"/>
    <w:rsid w:val="009373F2"/>
    <w:rsid w:val="00937890"/>
    <w:rsid w:val="00977923"/>
    <w:rsid w:val="00983AED"/>
    <w:rsid w:val="009A5F20"/>
    <w:rsid w:val="009E1EBC"/>
    <w:rsid w:val="009E6AFE"/>
    <w:rsid w:val="00A17EAB"/>
    <w:rsid w:val="00A41582"/>
    <w:rsid w:val="00A535C2"/>
    <w:rsid w:val="00A770B7"/>
    <w:rsid w:val="00AA3AC8"/>
    <w:rsid w:val="00AE36D5"/>
    <w:rsid w:val="00AE6B78"/>
    <w:rsid w:val="00B266CD"/>
    <w:rsid w:val="00B6370C"/>
    <w:rsid w:val="00B67431"/>
    <w:rsid w:val="00B816D7"/>
    <w:rsid w:val="00B830CA"/>
    <w:rsid w:val="00B86083"/>
    <w:rsid w:val="00BA2994"/>
    <w:rsid w:val="00BB3E77"/>
    <w:rsid w:val="00BC6DAF"/>
    <w:rsid w:val="00BD4124"/>
    <w:rsid w:val="00BE6E50"/>
    <w:rsid w:val="00C14190"/>
    <w:rsid w:val="00C31050"/>
    <w:rsid w:val="00C32C23"/>
    <w:rsid w:val="00C575D4"/>
    <w:rsid w:val="00C6089F"/>
    <w:rsid w:val="00C8195C"/>
    <w:rsid w:val="00C85901"/>
    <w:rsid w:val="00C8682F"/>
    <w:rsid w:val="00C928BF"/>
    <w:rsid w:val="00CA4677"/>
    <w:rsid w:val="00CC6719"/>
    <w:rsid w:val="00CD5A25"/>
    <w:rsid w:val="00CE2CEB"/>
    <w:rsid w:val="00CF240A"/>
    <w:rsid w:val="00CF395A"/>
    <w:rsid w:val="00D0651D"/>
    <w:rsid w:val="00D30094"/>
    <w:rsid w:val="00D37393"/>
    <w:rsid w:val="00D403AC"/>
    <w:rsid w:val="00D4525D"/>
    <w:rsid w:val="00D623EB"/>
    <w:rsid w:val="00D804B5"/>
    <w:rsid w:val="00D84487"/>
    <w:rsid w:val="00D86F9F"/>
    <w:rsid w:val="00DC1C64"/>
    <w:rsid w:val="00DE4070"/>
    <w:rsid w:val="00DE6B3B"/>
    <w:rsid w:val="00E14E8E"/>
    <w:rsid w:val="00E61884"/>
    <w:rsid w:val="00ED7DE8"/>
    <w:rsid w:val="00EF2983"/>
    <w:rsid w:val="00EF2DD6"/>
    <w:rsid w:val="00EF40E8"/>
    <w:rsid w:val="00F11B2D"/>
    <w:rsid w:val="00F4100B"/>
    <w:rsid w:val="00F46194"/>
    <w:rsid w:val="00F67160"/>
    <w:rsid w:val="00F81E8B"/>
    <w:rsid w:val="00F908FB"/>
    <w:rsid w:val="00FA18BB"/>
    <w:rsid w:val="00FB2DFE"/>
    <w:rsid w:val="00FB47D0"/>
    <w:rsid w:val="00FB644B"/>
    <w:rsid w:val="00FD3C38"/>
    <w:rsid w:val="00FE270D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9EDAD-4BF7-4FE7-8AFB-59FDD943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902932"/>
    <w:pPr>
      <w:ind w:left="720"/>
    </w:pPr>
    <w:rPr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9029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C6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ra.gov.uk/statistics/economic-output-statistics/ni-composite-economic-inde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sra.gov.uk/system/files/statistics/NICEI-Tables-Q2-2019.xls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725A7-4AA4-4293-93D0-F49BD59E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Katie Barbour</cp:lastModifiedBy>
  <cp:revision>8</cp:revision>
  <cp:lastPrinted>2017-08-22T10:53:00Z</cp:lastPrinted>
  <dcterms:created xsi:type="dcterms:W3CDTF">2019-04-10T11:27:00Z</dcterms:created>
  <dcterms:modified xsi:type="dcterms:W3CDTF">2019-10-25T09:54:00Z</dcterms:modified>
</cp:coreProperties>
</file>